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DAC1"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00" w:line="276" w:lineRule="auto"/>
        <w:rPr>
          <w:rFonts w:ascii="Times New Roman" w:eastAsia="Times New Roman" w:hAnsi="Times New Roman" w:cs="Times New Roman"/>
          <w:b/>
          <w:bCs/>
          <w:lang w:eastAsia="ca-ES"/>
        </w:rPr>
      </w:pPr>
    </w:p>
    <w:p w14:paraId="35A8CD78"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00" w:line="276" w:lineRule="auto"/>
        <w:jc w:val="center"/>
      </w:pPr>
      <w:r>
        <w:rPr>
          <w:rFonts w:ascii="Times New Roman" w:eastAsia="Times New Roman" w:hAnsi="Times New Roman" w:cs="Times New Roman"/>
          <w:b/>
          <w:bCs/>
          <w:lang w:eastAsia="ca-ES"/>
        </w:rPr>
        <w:t>ANEXO - MODELO DE CONTRATO DE CESIÓN EN USUFRUCTO</w:t>
      </w:r>
    </w:p>
    <w:p w14:paraId="27DF46A4" w14:textId="77777777" w:rsidR="00237CFA" w:rsidRDefault="00237CFA">
      <w:pPr>
        <w:pStyle w:val="Standard"/>
        <w:widowControl w:val="0"/>
        <w:tabs>
          <w:tab w:val="left" w:pos="8256"/>
        </w:tabs>
        <w:spacing w:after="0" w:line="276" w:lineRule="auto"/>
        <w:jc w:val="both"/>
        <w:rPr>
          <w:rFonts w:ascii="Times New Roman" w:eastAsia="Times New Roman" w:hAnsi="Times New Roman" w:cs="Times New Roman"/>
          <w:color w:val="000000"/>
          <w:lang w:eastAsia="ca-ES"/>
        </w:rPr>
      </w:pPr>
    </w:p>
    <w:p w14:paraId="3BA5D772" w14:textId="77777777" w:rsidR="00237CFA" w:rsidRDefault="007525FD">
      <w:pPr>
        <w:pStyle w:val="Standard"/>
        <w:widowControl w:val="0"/>
        <w:tabs>
          <w:tab w:val="left" w:pos="8232"/>
        </w:tabs>
        <w:spacing w:after="0" w:line="276" w:lineRule="auto"/>
        <w:ind w:left="-24"/>
        <w:jc w:val="both"/>
      </w:pPr>
      <w:r>
        <w:rPr>
          <w:rFonts w:ascii="Times New Roman" w:eastAsia="Times New Roman" w:hAnsi="Times New Roman" w:cs="Times New Roman"/>
          <w:color w:val="000000"/>
          <w:lang w:eastAsia="ca-ES"/>
        </w:rPr>
        <w:t>En [</w:t>
      </w:r>
      <w:r>
        <w:rPr>
          <w:rFonts w:ascii="Times New Roman" w:eastAsia="Times New Roman" w:hAnsi="Times New Roman" w:cs="Times New Roman"/>
          <w:shd w:val="clear" w:color="auto" w:fill="C0C0C0"/>
          <w:lang w:eastAsia="ca-ES"/>
        </w:rPr>
        <w:t>insertar lugar]</w:t>
      </w:r>
      <w:r>
        <w:rPr>
          <w:rFonts w:ascii="Times New Roman" w:eastAsia="Times New Roman" w:hAnsi="Times New Roman" w:cs="Times New Roman"/>
          <w:color w:val="000000"/>
          <w:lang w:eastAsia="ca-ES"/>
        </w:rPr>
        <w:t xml:space="preserve"> a [</w:t>
      </w:r>
      <w:r>
        <w:rPr>
          <w:rFonts w:ascii="Times New Roman" w:eastAsia="Times New Roman" w:hAnsi="Times New Roman" w:cs="Times New Roman"/>
          <w:shd w:val="clear" w:color="auto" w:fill="C0C0C0"/>
          <w:lang w:eastAsia="ca-ES"/>
        </w:rPr>
        <w:t>insertar fecha]</w:t>
      </w:r>
    </w:p>
    <w:p w14:paraId="64471065" w14:textId="77777777" w:rsidR="00237CFA" w:rsidRDefault="00237CFA">
      <w:pPr>
        <w:pStyle w:val="Standard"/>
        <w:widowControl w:val="0"/>
        <w:tabs>
          <w:tab w:val="left" w:pos="8232"/>
        </w:tabs>
        <w:spacing w:after="0" w:line="276" w:lineRule="auto"/>
        <w:ind w:left="-24"/>
        <w:jc w:val="both"/>
        <w:rPr>
          <w:rFonts w:ascii="Times New Roman" w:eastAsia="Times New Roman" w:hAnsi="Times New Roman" w:cs="Times New Roman"/>
          <w:color w:val="000000"/>
          <w:shd w:val="clear" w:color="auto" w:fill="C0C0C0"/>
          <w:lang w:eastAsia="ca-ES"/>
        </w:rPr>
      </w:pPr>
    </w:p>
    <w:p w14:paraId="154CE6AF"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outlineLvl w:val="0"/>
      </w:pPr>
      <w:r>
        <w:rPr>
          <w:rFonts w:ascii="Times New Roman" w:eastAsia="Times New Roman" w:hAnsi="Times New Roman" w:cs="Times New Roman"/>
          <w:b/>
          <w:color w:val="000000"/>
          <w:lang w:eastAsia="ca-ES"/>
        </w:rPr>
        <w:t>REUNIDOS</w:t>
      </w:r>
    </w:p>
    <w:p w14:paraId="423A81F2"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outlineLvl w:val="0"/>
        <w:rPr>
          <w:rFonts w:ascii="Times New Roman" w:eastAsia="Times New Roman" w:hAnsi="Times New Roman" w:cs="Times New Roman"/>
          <w:color w:val="000000"/>
          <w:lang w:eastAsia="ca-ES"/>
        </w:rPr>
      </w:pPr>
    </w:p>
    <w:p w14:paraId="5997E77F"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r>
        <w:rPr>
          <w:rFonts w:ascii="Times New Roman" w:eastAsia="Times New Roman" w:hAnsi="Times New Roman" w:cs="Times New Roman"/>
          <w:bCs/>
          <w:lang w:eastAsia="ca-ES"/>
        </w:rPr>
        <w:t>De una parte, D./Dña. [</w:t>
      </w:r>
      <w:r>
        <w:rPr>
          <w:rFonts w:ascii="Times New Roman" w:eastAsia="Times New Roman" w:hAnsi="Times New Roman" w:cs="Times New Roman"/>
          <w:bCs/>
          <w:shd w:val="clear" w:color="auto" w:fill="C0C0C0"/>
          <w:lang w:eastAsia="ca-ES"/>
        </w:rPr>
        <w:t>insertar nombre del representante</w:t>
      </w:r>
      <w:r>
        <w:rPr>
          <w:rFonts w:ascii="Times New Roman" w:eastAsia="Times New Roman" w:hAnsi="Times New Roman" w:cs="Times New Roman"/>
          <w:bCs/>
          <w:lang w:eastAsia="ca-ES"/>
        </w:rPr>
        <w:t xml:space="preserve">], en su condición de </w:t>
      </w:r>
      <w:r>
        <w:rPr>
          <w:rFonts w:ascii="Times New Roman" w:eastAsia="Times New Roman" w:hAnsi="Times New Roman" w:cs="Times New Roman"/>
          <w:bCs/>
          <w:shd w:val="clear" w:color="auto" w:fill="C0C0C0"/>
          <w:lang w:eastAsia="ca-ES"/>
        </w:rPr>
        <w:t>[insertar cargo</w:t>
      </w:r>
      <w:r>
        <w:rPr>
          <w:rFonts w:ascii="Times New Roman" w:eastAsia="Times New Roman" w:hAnsi="Times New Roman" w:cs="Times New Roman"/>
          <w:bCs/>
          <w:lang w:eastAsia="ca-ES"/>
        </w:rPr>
        <w:t xml:space="preserve">] que actúa en nombre y representación del </w:t>
      </w:r>
      <w:r>
        <w:rPr>
          <w:rFonts w:ascii="Times New Roman" w:eastAsia="Times New Roman" w:hAnsi="Times New Roman" w:cs="Times New Roman"/>
          <w:color w:val="000000"/>
          <w:shd w:val="clear" w:color="auto" w:fill="C0C0C0"/>
          <w:lang w:eastAsia="ca-ES"/>
        </w:rPr>
        <w:t>[insertar institución]</w:t>
      </w:r>
      <w:r>
        <w:rPr>
          <w:rFonts w:ascii="Times New Roman" w:eastAsia="Times New Roman" w:hAnsi="Times New Roman" w:cs="Times New Roman"/>
          <w:color w:val="000000"/>
          <w:lang w:eastAsia="ca-ES"/>
        </w:rPr>
        <w:t xml:space="preserve">, </w:t>
      </w:r>
      <w:r>
        <w:rPr>
          <w:rFonts w:ascii="Times New Roman" w:eastAsia="Times New Roman" w:hAnsi="Times New Roman" w:cs="Times New Roman"/>
          <w:bCs/>
          <w:lang w:eastAsia="ca-ES"/>
        </w:rPr>
        <w:t>(en adelante “</w:t>
      </w:r>
      <w:r>
        <w:rPr>
          <w:rFonts w:ascii="Times New Roman" w:eastAsia="Times New Roman" w:hAnsi="Times New Roman" w:cs="Times New Roman"/>
          <w:color w:val="000000"/>
          <w:shd w:val="clear" w:color="auto" w:fill="C0C0C0"/>
          <w:lang w:eastAsia="ca-ES"/>
        </w:rPr>
        <w:t>[insertar institución]</w:t>
      </w:r>
      <w:r>
        <w:rPr>
          <w:rFonts w:ascii="Times New Roman" w:eastAsia="Times New Roman" w:hAnsi="Times New Roman" w:cs="Times New Roman"/>
          <w:bCs/>
          <w:lang w:eastAsia="ca-ES"/>
        </w:rPr>
        <w:t xml:space="preserve">” o el </w:t>
      </w:r>
      <w:r>
        <w:rPr>
          <w:rFonts w:ascii="Times New Roman" w:eastAsia="Times New Roman" w:hAnsi="Times New Roman" w:cs="Times New Roman"/>
          <w:bCs/>
          <w:lang w:eastAsia="ca-ES"/>
        </w:rPr>
        <w:t xml:space="preserve">“Ayuntamiento”), con CIF </w:t>
      </w:r>
      <w:r>
        <w:rPr>
          <w:rFonts w:ascii="Times New Roman" w:eastAsia="Times New Roman" w:hAnsi="Times New Roman" w:cs="Times New Roman"/>
          <w:bCs/>
          <w:shd w:val="clear" w:color="auto" w:fill="C0C0C0"/>
          <w:lang w:eastAsia="ca-ES"/>
        </w:rPr>
        <w:t>[insertar</w:t>
      </w:r>
      <w:r>
        <w:rPr>
          <w:rFonts w:ascii="Times New Roman" w:eastAsia="Times New Roman" w:hAnsi="Times New Roman" w:cs="Times New Roman"/>
          <w:bCs/>
          <w:lang w:eastAsia="ca-ES"/>
        </w:rPr>
        <w:t xml:space="preserve">] y domicilio en </w:t>
      </w:r>
      <w:r>
        <w:rPr>
          <w:rFonts w:ascii="Times New Roman" w:eastAsia="Times New Roman" w:hAnsi="Times New Roman" w:cs="Times New Roman"/>
          <w:bCs/>
          <w:shd w:val="clear" w:color="auto" w:fill="C0C0C0"/>
          <w:lang w:eastAsia="ca-ES"/>
        </w:rPr>
        <w:t>[insertar</w:t>
      </w:r>
      <w:r>
        <w:rPr>
          <w:rFonts w:ascii="Times New Roman" w:eastAsia="Times New Roman" w:hAnsi="Times New Roman" w:cs="Times New Roman"/>
          <w:bCs/>
          <w:lang w:eastAsia="ca-ES"/>
        </w:rPr>
        <w:t>], condición que ostenta en virtud del nombramiento efectuado por acuerdo de [</w:t>
      </w:r>
      <w:r>
        <w:rPr>
          <w:rFonts w:ascii="Times New Roman" w:eastAsia="Times New Roman" w:hAnsi="Times New Roman" w:cs="Times New Roman"/>
          <w:bCs/>
          <w:shd w:val="clear" w:color="auto" w:fill="C0C0C0"/>
          <w:lang w:eastAsia="ca-ES"/>
        </w:rPr>
        <w:t>insertar datos identificativos del acuerdo</w:t>
      </w:r>
      <w:r>
        <w:rPr>
          <w:rFonts w:ascii="Times New Roman" w:eastAsia="Times New Roman" w:hAnsi="Times New Roman" w:cs="Times New Roman"/>
          <w:bCs/>
          <w:lang w:eastAsia="ca-ES"/>
        </w:rPr>
        <w:t xml:space="preserve">] y en uso de las facultades otorgadas por </w:t>
      </w:r>
      <w:r>
        <w:rPr>
          <w:rFonts w:ascii="Times New Roman" w:eastAsia="Times New Roman" w:hAnsi="Times New Roman" w:cs="Times New Roman"/>
          <w:bCs/>
          <w:shd w:val="clear" w:color="auto" w:fill="C0C0C0"/>
          <w:lang w:eastAsia="ca-ES"/>
        </w:rPr>
        <w:t>[insertar referencia normativa]</w:t>
      </w:r>
      <w:r>
        <w:rPr>
          <w:rFonts w:ascii="Times New Roman" w:eastAsia="Times New Roman" w:hAnsi="Times New Roman" w:cs="Times New Roman"/>
          <w:bCs/>
          <w:lang w:eastAsia="ca-ES"/>
        </w:rPr>
        <w:t>.</w:t>
      </w:r>
    </w:p>
    <w:p w14:paraId="3398D106" w14:textId="77777777" w:rsidR="00237CFA" w:rsidRDefault="00237CFA">
      <w:pPr>
        <w:pStyle w:val="Standard"/>
        <w:spacing w:after="0" w:line="276" w:lineRule="auto"/>
        <w:jc w:val="both"/>
        <w:rPr>
          <w:rFonts w:ascii="Times New Roman" w:eastAsia="Calibri" w:hAnsi="Times New Roman" w:cs="Times New Roman"/>
          <w:lang w:eastAsia="es-ES"/>
        </w:rPr>
      </w:pPr>
    </w:p>
    <w:p w14:paraId="08979D83" w14:textId="77777777" w:rsidR="00237CFA" w:rsidRDefault="007525FD">
      <w:pPr>
        <w:pStyle w:val="Standard"/>
        <w:spacing w:after="0" w:line="276" w:lineRule="auto"/>
        <w:jc w:val="both"/>
      </w:pPr>
      <w:r>
        <w:rPr>
          <w:rFonts w:ascii="Times New Roman" w:eastAsia="Calibri" w:hAnsi="Times New Roman" w:cs="Times New Roman"/>
          <w:lang w:eastAsia="es-ES"/>
        </w:rPr>
        <w:t>De otra parte, la Sociedad de Gestión de Activos Procedentes de la Restructuración Bancaria (en adelante “SAREB”), con CIF [</w:t>
      </w:r>
      <w:r>
        <w:rPr>
          <w:rFonts w:ascii="Times New Roman" w:eastAsia="Calibri" w:hAnsi="Times New Roman" w:cs="Times New Roman"/>
          <w:shd w:val="clear" w:color="auto" w:fill="B2B2B2"/>
          <w:lang w:eastAsia="es-ES"/>
        </w:rPr>
        <w:t>insertar datos</w:t>
      </w:r>
      <w:r>
        <w:rPr>
          <w:rFonts w:ascii="Times New Roman" w:eastAsia="Calibri" w:hAnsi="Times New Roman" w:cs="Times New Roman"/>
          <w:lang w:eastAsia="es-ES"/>
        </w:rPr>
        <w:t>], y domicilio en Madrid, [</w:t>
      </w:r>
      <w:r>
        <w:rPr>
          <w:rFonts w:ascii="Times New Roman" w:eastAsia="Calibri" w:hAnsi="Times New Roman" w:cs="Times New Roman"/>
          <w:shd w:val="clear" w:color="auto" w:fill="B2B2B2"/>
          <w:lang w:eastAsia="es-ES"/>
        </w:rPr>
        <w:t>insertar datos</w:t>
      </w:r>
      <w:r>
        <w:rPr>
          <w:rFonts w:ascii="Times New Roman" w:eastAsia="Calibri" w:hAnsi="Times New Roman" w:cs="Times New Roman"/>
          <w:lang w:eastAsia="es-ES"/>
        </w:rPr>
        <w:t>], representada por D. [</w:t>
      </w:r>
      <w:r>
        <w:rPr>
          <w:rFonts w:ascii="Times New Roman" w:eastAsia="Calibri" w:hAnsi="Times New Roman" w:cs="Times New Roman"/>
          <w:shd w:val="clear" w:color="auto" w:fill="B2B2B2"/>
          <w:lang w:eastAsia="es-ES"/>
        </w:rPr>
        <w:t>insertar datos</w:t>
      </w:r>
      <w:r>
        <w:rPr>
          <w:rFonts w:ascii="Times New Roman" w:eastAsia="Calibri" w:hAnsi="Times New Roman" w:cs="Times New Roman"/>
          <w:lang w:eastAsia="es-ES"/>
        </w:rPr>
        <w:t xml:space="preserve">], </w:t>
      </w:r>
      <w:proofErr w:type="gramStart"/>
      <w:r>
        <w:rPr>
          <w:rFonts w:ascii="Times New Roman" w:eastAsia="Calibri" w:hAnsi="Times New Roman" w:cs="Times New Roman"/>
          <w:lang w:eastAsia="es-ES"/>
        </w:rPr>
        <w:t>Director</w:t>
      </w:r>
      <w:proofErr w:type="gramEnd"/>
      <w:r>
        <w:rPr>
          <w:rFonts w:ascii="Times New Roman" w:eastAsia="Calibri" w:hAnsi="Times New Roman" w:cs="Times New Roman"/>
          <w:lang w:eastAsia="es-ES"/>
        </w:rPr>
        <w:t xml:space="preserve"> de Responsabilidad Social </w:t>
      </w:r>
      <w:r>
        <w:rPr>
          <w:rFonts w:ascii="Times New Roman" w:eastAsia="Calibri" w:hAnsi="Times New Roman" w:cs="Times New Roman"/>
          <w:lang w:eastAsia="es-ES"/>
        </w:rPr>
        <w:t>Corporativa, representación que ostenta en virtud del poder otorgado el 23 de julio de 2015, ante el Notario de Madrid D. José Miguel García Lombardía actuando como sustituto D. Jesús Roa Martínez con el número 3.398 de su protocolo.</w:t>
      </w:r>
    </w:p>
    <w:p w14:paraId="3B826542" w14:textId="77777777" w:rsidR="00237CFA" w:rsidRDefault="00237CFA">
      <w:pPr>
        <w:pStyle w:val="Standard"/>
        <w:widowControl w:val="0"/>
        <w:spacing w:after="0" w:line="276" w:lineRule="auto"/>
        <w:jc w:val="both"/>
        <w:rPr>
          <w:rFonts w:ascii="Times New Roman" w:eastAsia="Times New Roman" w:hAnsi="Times New Roman" w:cs="Times New Roman"/>
          <w:color w:val="000000"/>
          <w:lang w:eastAsia="ca-ES"/>
        </w:rPr>
      </w:pPr>
    </w:p>
    <w:p w14:paraId="1473776F" w14:textId="77777777" w:rsidR="00237CFA" w:rsidRDefault="007525FD">
      <w:pPr>
        <w:pStyle w:val="Standard"/>
        <w:widowControl w:val="0"/>
        <w:spacing w:after="0" w:line="276" w:lineRule="auto"/>
        <w:jc w:val="both"/>
      </w:pPr>
      <w:r>
        <w:rPr>
          <w:rFonts w:ascii="Times New Roman" w:eastAsia="Times New Roman" w:hAnsi="Times New Roman" w:cs="Times New Roman"/>
          <w:color w:val="000000"/>
          <w:lang w:eastAsia="ca-ES"/>
        </w:rPr>
        <w:t>Las partes se reconoc</w:t>
      </w:r>
      <w:r>
        <w:rPr>
          <w:rFonts w:ascii="Times New Roman" w:eastAsia="Times New Roman" w:hAnsi="Times New Roman" w:cs="Times New Roman"/>
          <w:color w:val="000000"/>
          <w:lang w:eastAsia="ca-ES"/>
        </w:rPr>
        <w:t>en recíprocamente plena capacidad legal de contratar y obligarse y</w:t>
      </w:r>
    </w:p>
    <w:p w14:paraId="2CB9AABA"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b/>
          <w:color w:val="000000"/>
          <w:lang w:eastAsia="ca-ES"/>
        </w:rPr>
      </w:pPr>
    </w:p>
    <w:p w14:paraId="69D76D65"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outlineLvl w:val="0"/>
      </w:pPr>
      <w:r>
        <w:rPr>
          <w:rFonts w:ascii="Times New Roman" w:eastAsia="Times New Roman" w:hAnsi="Times New Roman" w:cs="Times New Roman"/>
          <w:b/>
          <w:color w:val="000000"/>
          <w:lang w:eastAsia="ca-ES"/>
        </w:rPr>
        <w:t>MANIFIESTAN</w:t>
      </w:r>
    </w:p>
    <w:p w14:paraId="088CB501"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19089DC4"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color w:val="000000"/>
          <w:lang w:eastAsia="ca-ES"/>
        </w:rPr>
        <w:t>I</w:t>
      </w:r>
      <w:r>
        <w:rPr>
          <w:rFonts w:ascii="Times New Roman" w:eastAsia="Times New Roman" w:hAnsi="Times New Roman" w:cs="Times New Roman"/>
          <w:color w:val="000000"/>
          <w:lang w:eastAsia="ca-ES"/>
        </w:rPr>
        <w:t xml:space="preserve">.- Que en el día </w:t>
      </w:r>
      <w:r>
        <w:rPr>
          <w:rFonts w:ascii="Times New Roman" w:eastAsia="Times New Roman" w:hAnsi="Times New Roman" w:cs="Times New Roman"/>
          <w:color w:val="000000"/>
          <w:shd w:val="clear" w:color="auto" w:fill="C0C0C0"/>
          <w:lang w:eastAsia="ca-ES"/>
        </w:rPr>
        <w:t>[insertar fecha]</w:t>
      </w:r>
      <w:r>
        <w:rPr>
          <w:rFonts w:ascii="Times New Roman" w:eastAsia="Times New Roman" w:hAnsi="Times New Roman" w:cs="Times New Roman"/>
          <w:color w:val="000000"/>
          <w:lang w:eastAsia="ca-ES"/>
        </w:rPr>
        <w:t xml:space="preserve"> se ha suscrito un Convenio de Colaboración entre Sareb </w:t>
      </w:r>
      <w:proofErr w:type="gramStart"/>
      <w:r>
        <w:rPr>
          <w:rFonts w:ascii="Times New Roman" w:eastAsia="Times New Roman" w:hAnsi="Times New Roman" w:cs="Times New Roman"/>
          <w:color w:val="000000"/>
          <w:lang w:eastAsia="ca-ES"/>
        </w:rPr>
        <w:t xml:space="preserve">y  </w:t>
      </w:r>
      <w:r>
        <w:rPr>
          <w:rFonts w:ascii="Times New Roman" w:eastAsia="Times New Roman" w:hAnsi="Times New Roman" w:cs="Times New Roman"/>
          <w:color w:val="000000"/>
          <w:shd w:val="clear" w:color="auto" w:fill="C0C0C0"/>
          <w:lang w:eastAsia="ca-ES"/>
        </w:rPr>
        <w:t>[</w:t>
      </w:r>
      <w:proofErr w:type="gramEnd"/>
      <w:r>
        <w:rPr>
          <w:rFonts w:ascii="Times New Roman" w:eastAsia="Times New Roman" w:hAnsi="Times New Roman" w:cs="Times New Roman"/>
          <w:color w:val="000000"/>
          <w:shd w:val="clear" w:color="auto" w:fill="C0C0C0"/>
          <w:lang w:eastAsia="ca-ES"/>
        </w:rPr>
        <w:t>insertar institución]</w:t>
      </w:r>
      <w:r>
        <w:rPr>
          <w:rFonts w:ascii="Times New Roman" w:eastAsia="Times New Roman" w:hAnsi="Times New Roman" w:cs="Times New Roman"/>
          <w:color w:val="000000"/>
          <w:lang w:eastAsia="ca-ES"/>
        </w:rPr>
        <w:t xml:space="preserve"> (en adelante el “Ayuntamiento”) para la gestión por parte de esta última de viviendas propiedad de Sareb (en adelante el “Convenio”) </w:t>
      </w:r>
      <w:r>
        <w:rPr>
          <w:rFonts w:ascii="Times New Roman" w:eastAsia="Times New Roman" w:hAnsi="Times New Roman" w:cs="Times New Roman"/>
          <w:lang w:eastAsia="ca-ES"/>
        </w:rPr>
        <w:t>con el fin de destinarlas a emergencia so</w:t>
      </w:r>
      <w:r>
        <w:rPr>
          <w:rFonts w:ascii="Times New Roman" w:eastAsia="Times New Roman" w:hAnsi="Times New Roman" w:cs="Times New Roman"/>
          <w:lang w:eastAsia="ca-ES"/>
        </w:rPr>
        <w:t>cial.</w:t>
      </w:r>
    </w:p>
    <w:p w14:paraId="7A9916BB"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5E09FC6B"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lang w:eastAsia="ca-ES"/>
        </w:rPr>
        <w:t>II.-</w:t>
      </w:r>
      <w:r>
        <w:rPr>
          <w:rFonts w:ascii="Times New Roman" w:eastAsia="Times New Roman" w:hAnsi="Times New Roman" w:cs="Times New Roman"/>
          <w:lang w:eastAsia="ca-ES"/>
        </w:rPr>
        <w:t xml:space="preserve"> Que en la cláusula segunda del Convenio se establece que Sareb y </w:t>
      </w:r>
      <w:r>
        <w:rPr>
          <w:rFonts w:ascii="Times New Roman" w:eastAsia="Times New Roman" w:hAnsi="Times New Roman" w:cs="Times New Roman"/>
          <w:color w:val="000000"/>
          <w:lang w:eastAsia="ca-ES"/>
        </w:rPr>
        <w:t xml:space="preserve">el Ayuntamiento </w:t>
      </w:r>
      <w:r>
        <w:rPr>
          <w:rFonts w:ascii="Times New Roman" w:eastAsia="Times New Roman" w:hAnsi="Times New Roman" w:cs="Times New Roman"/>
          <w:lang w:eastAsia="ca-ES"/>
        </w:rPr>
        <w:t>firmarán uno o varios contratos, por los que Sareb cederá el usufructo de cada una de las viviendas detalladas en el contrato.</w:t>
      </w:r>
    </w:p>
    <w:p w14:paraId="402571B5"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b/>
          <w:color w:val="000000"/>
          <w:lang w:eastAsia="ca-ES"/>
        </w:rPr>
      </w:pPr>
    </w:p>
    <w:p w14:paraId="7788089D"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color w:val="000000"/>
          <w:lang w:eastAsia="ca-ES"/>
        </w:rPr>
        <w:t>III</w:t>
      </w:r>
      <w:r>
        <w:rPr>
          <w:rFonts w:ascii="Times New Roman" w:eastAsia="Times New Roman" w:hAnsi="Times New Roman" w:cs="Times New Roman"/>
          <w:color w:val="000000"/>
          <w:lang w:eastAsia="ca-ES"/>
        </w:rPr>
        <w:t>.- Que Sareb es propietaria de las vivienda</w:t>
      </w:r>
      <w:r>
        <w:rPr>
          <w:rFonts w:ascii="Times New Roman" w:eastAsia="Times New Roman" w:hAnsi="Times New Roman" w:cs="Times New Roman"/>
          <w:color w:val="000000"/>
          <w:lang w:eastAsia="ca-ES"/>
        </w:rPr>
        <w:t xml:space="preserve">s que constan en el </w:t>
      </w:r>
      <w:r>
        <w:rPr>
          <w:rFonts w:ascii="Times New Roman" w:eastAsia="Times New Roman" w:hAnsi="Times New Roman" w:cs="Times New Roman"/>
          <w:b/>
          <w:color w:val="000000"/>
          <w:lang w:eastAsia="ca-ES"/>
        </w:rPr>
        <w:t xml:space="preserve">Apéndice </w:t>
      </w:r>
      <w:r>
        <w:rPr>
          <w:rFonts w:ascii="Times New Roman" w:eastAsia="Times New Roman" w:hAnsi="Times New Roman" w:cs="Times New Roman"/>
          <w:color w:val="000000"/>
          <w:lang w:eastAsia="ca-ES"/>
        </w:rPr>
        <w:t>del presente contrato.</w:t>
      </w:r>
    </w:p>
    <w:p w14:paraId="38BF6366"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21551D58"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color w:val="000000"/>
          <w:lang w:eastAsia="ca-ES"/>
        </w:rPr>
        <w:t>IV</w:t>
      </w:r>
      <w:r>
        <w:rPr>
          <w:rFonts w:ascii="Times New Roman" w:eastAsia="Times New Roman" w:hAnsi="Times New Roman" w:cs="Times New Roman"/>
          <w:color w:val="000000"/>
          <w:lang w:eastAsia="ca-ES"/>
        </w:rPr>
        <w:t>.- Que es de interés de Sareb ceder el usufructo de las viviendas indicadas en el mencionado Apéndice para que sean alquiladas y/o administradas por parte del Ayuntamiento</w:t>
      </w:r>
      <w:r>
        <w:rPr>
          <w:rFonts w:ascii="Times New Roman" w:eastAsia="Times New Roman" w:hAnsi="Times New Roman" w:cs="Times New Roman"/>
          <w:bCs/>
          <w:lang w:eastAsia="ca-ES"/>
        </w:rPr>
        <w:t xml:space="preserve"> </w:t>
      </w:r>
      <w:r>
        <w:rPr>
          <w:rFonts w:ascii="Times New Roman" w:eastAsia="Times New Roman" w:hAnsi="Times New Roman" w:cs="Times New Roman"/>
          <w:color w:val="000000"/>
          <w:lang w:eastAsia="ca-ES"/>
        </w:rPr>
        <w:t>otorgando, en consecuencia, c</w:t>
      </w:r>
      <w:r>
        <w:rPr>
          <w:rFonts w:ascii="Times New Roman" w:eastAsia="Times New Roman" w:hAnsi="Times New Roman" w:cs="Times New Roman"/>
          <w:color w:val="000000"/>
          <w:lang w:eastAsia="ca-ES"/>
        </w:rPr>
        <w:t xml:space="preserve">ontrato de usufructo a favor de este </w:t>
      </w:r>
      <w:proofErr w:type="gramStart"/>
      <w:r>
        <w:rPr>
          <w:rFonts w:ascii="Times New Roman" w:eastAsia="Times New Roman" w:hAnsi="Times New Roman" w:cs="Times New Roman"/>
          <w:color w:val="000000"/>
          <w:lang w:eastAsia="ca-ES"/>
        </w:rPr>
        <w:t>Ayuntamiento,  de</w:t>
      </w:r>
      <w:proofErr w:type="gramEnd"/>
      <w:r>
        <w:rPr>
          <w:rFonts w:ascii="Times New Roman" w:eastAsia="Times New Roman" w:hAnsi="Times New Roman" w:cs="Times New Roman"/>
          <w:color w:val="000000"/>
          <w:lang w:eastAsia="ca-ES"/>
        </w:rPr>
        <w:t xml:space="preserve"> acuerdo con los siguientes</w:t>
      </w:r>
    </w:p>
    <w:p w14:paraId="595371EA"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outlineLvl w:val="0"/>
        <w:rPr>
          <w:rFonts w:ascii="Times New Roman" w:eastAsia="Times New Roman" w:hAnsi="Times New Roman" w:cs="Times New Roman"/>
          <w:b/>
          <w:bCs/>
          <w:color w:val="000000"/>
          <w:lang w:eastAsia="ca-ES"/>
        </w:rPr>
      </w:pPr>
    </w:p>
    <w:p w14:paraId="7145F9A4"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outlineLvl w:val="0"/>
      </w:pPr>
      <w:r>
        <w:rPr>
          <w:rFonts w:ascii="Times New Roman" w:eastAsia="Times New Roman" w:hAnsi="Times New Roman" w:cs="Times New Roman"/>
          <w:b/>
          <w:bCs/>
          <w:color w:val="000000"/>
          <w:lang w:eastAsia="ca-ES"/>
        </w:rPr>
        <w:t>PACTOS</w:t>
      </w:r>
    </w:p>
    <w:p w14:paraId="24870E67"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outlineLvl w:val="0"/>
        <w:rPr>
          <w:rFonts w:ascii="Times New Roman" w:eastAsia="Times New Roman" w:hAnsi="Times New Roman" w:cs="Times New Roman"/>
          <w:b/>
          <w:bCs/>
          <w:color w:val="000000"/>
          <w:lang w:eastAsia="ca-ES"/>
        </w:rPr>
      </w:pPr>
    </w:p>
    <w:p w14:paraId="6C4048C7"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proofErr w:type="gramStart"/>
      <w:r>
        <w:rPr>
          <w:rFonts w:ascii="Times New Roman" w:eastAsia="Times New Roman" w:hAnsi="Times New Roman" w:cs="Times New Roman"/>
          <w:b/>
          <w:color w:val="000000"/>
          <w:lang w:eastAsia="ca-ES"/>
        </w:rPr>
        <w:t>Primero.-</w:t>
      </w:r>
      <w:proofErr w:type="gramEnd"/>
      <w:r>
        <w:rPr>
          <w:rFonts w:ascii="Times New Roman" w:eastAsia="Times New Roman" w:hAnsi="Times New Roman" w:cs="Times New Roman"/>
          <w:b/>
          <w:color w:val="000000"/>
          <w:lang w:eastAsia="ca-ES"/>
        </w:rPr>
        <w:t xml:space="preserve"> OBJETO</w:t>
      </w:r>
    </w:p>
    <w:p w14:paraId="7934DF71"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7C6CFAA4"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color w:val="000000"/>
          <w:lang w:eastAsia="ca-ES"/>
        </w:rPr>
        <w:t>Sareb, en su condición de propietaria, otorga a favor d</w:t>
      </w:r>
      <w:r>
        <w:rPr>
          <w:rFonts w:ascii="Times New Roman" w:eastAsia="Calibri" w:hAnsi="Times New Roman" w:cs="Times New Roman"/>
        </w:rPr>
        <w:t xml:space="preserve">el </w:t>
      </w:r>
      <w:r>
        <w:rPr>
          <w:rFonts w:ascii="Times New Roman" w:eastAsia="Times New Roman" w:hAnsi="Times New Roman" w:cs="Times New Roman"/>
          <w:color w:val="000000"/>
          <w:lang w:eastAsia="ca-ES"/>
        </w:rPr>
        <w:t xml:space="preserve">Ayuntamiento el usufructo de las viviendas indicadas en el Apéndice del presente </w:t>
      </w:r>
      <w:r>
        <w:rPr>
          <w:rFonts w:ascii="Times New Roman" w:eastAsia="Times New Roman" w:hAnsi="Times New Roman" w:cs="Times New Roman"/>
          <w:color w:val="000000"/>
          <w:lang w:eastAsia="ca-ES"/>
        </w:rPr>
        <w:t>contrato para que realice las gestiones necesarias para arrendar y/o administrar dichas viviendas de acuerdo con las condiciones establecidas aquí y en el Convenio.</w:t>
      </w:r>
    </w:p>
    <w:p w14:paraId="7BD86ADF"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3888F29C"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proofErr w:type="gramStart"/>
      <w:r>
        <w:rPr>
          <w:rFonts w:ascii="Times New Roman" w:eastAsia="Times New Roman" w:hAnsi="Times New Roman" w:cs="Times New Roman"/>
          <w:b/>
          <w:bCs/>
          <w:lang w:eastAsia="ca-ES"/>
        </w:rPr>
        <w:t>Segundo.-</w:t>
      </w:r>
      <w:proofErr w:type="gramEnd"/>
      <w:r>
        <w:rPr>
          <w:rFonts w:ascii="Times New Roman" w:eastAsia="Times New Roman" w:hAnsi="Times New Roman" w:cs="Times New Roman"/>
          <w:b/>
          <w:bCs/>
          <w:lang w:eastAsia="ca-ES"/>
        </w:rPr>
        <w:t xml:space="preserve"> CONTRAPRESTACIONES</w:t>
      </w:r>
    </w:p>
    <w:p w14:paraId="78D01F6A"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rPr>
          <w:rFonts w:ascii="Times New Roman" w:eastAsia="Times New Roman" w:hAnsi="Times New Roman" w:cs="Times New Roman"/>
          <w:b/>
          <w:bCs/>
          <w:lang w:eastAsia="ca-ES"/>
        </w:rPr>
      </w:pPr>
    </w:p>
    <w:p w14:paraId="6352100E" w14:textId="77777777" w:rsidR="00237CFA" w:rsidRDefault="007525FD">
      <w:pPr>
        <w:pStyle w:val="Standard"/>
        <w:numPr>
          <w:ilvl w:val="1"/>
          <w:numId w:val="15"/>
        </w:numPr>
        <w:spacing w:after="0" w:line="276" w:lineRule="auto"/>
        <w:jc w:val="both"/>
      </w:pPr>
      <w:r>
        <w:rPr>
          <w:rFonts w:ascii="Times New Roman" w:eastAsia="Calibri" w:hAnsi="Times New Roman" w:cs="Times New Roman"/>
          <w:b/>
          <w:bCs/>
        </w:rPr>
        <w:t xml:space="preserve"> Importe de las contraprestaciones</w:t>
      </w:r>
    </w:p>
    <w:p w14:paraId="5E3ECE50" w14:textId="77777777" w:rsidR="00237CFA" w:rsidRDefault="00237CFA">
      <w:pPr>
        <w:pStyle w:val="Standard"/>
        <w:spacing w:after="0" w:line="276" w:lineRule="auto"/>
        <w:jc w:val="both"/>
        <w:rPr>
          <w:rFonts w:ascii="Times New Roman" w:eastAsia="Calibri" w:hAnsi="Times New Roman" w:cs="Times New Roman"/>
        </w:rPr>
      </w:pPr>
    </w:p>
    <w:p w14:paraId="2A7DBC1D" w14:textId="77777777" w:rsidR="00237CFA" w:rsidRDefault="007525FD">
      <w:pPr>
        <w:pStyle w:val="Standard"/>
        <w:spacing w:after="0" w:line="276" w:lineRule="auto"/>
        <w:jc w:val="both"/>
      </w:pPr>
      <w:r>
        <w:rPr>
          <w:rFonts w:ascii="Times New Roman" w:eastAsia="Calibri" w:hAnsi="Times New Roman" w:cs="Times New Roman"/>
        </w:rPr>
        <w:lastRenderedPageBreak/>
        <w:t xml:space="preserve">El montante de la </w:t>
      </w:r>
      <w:r>
        <w:rPr>
          <w:rFonts w:ascii="Times New Roman" w:eastAsia="Calibri" w:hAnsi="Times New Roman" w:cs="Times New Roman"/>
        </w:rPr>
        <w:t xml:space="preserve">contraprestación por dicha cesión a satisfacer por </w:t>
      </w:r>
      <w:r>
        <w:rPr>
          <w:rFonts w:ascii="Times New Roman" w:eastAsia="Times New Roman" w:hAnsi="Times New Roman" w:cs="Times New Roman"/>
          <w:color w:val="000000"/>
          <w:lang w:eastAsia="ca-ES"/>
        </w:rPr>
        <w:t xml:space="preserve">el </w:t>
      </w:r>
      <w:r>
        <w:rPr>
          <w:rFonts w:ascii="Times New Roman" w:eastAsia="Times New Roman" w:hAnsi="Times New Roman" w:cs="Times New Roman"/>
          <w:color w:val="000000"/>
          <w:shd w:val="clear" w:color="auto" w:fill="C0C0C0"/>
          <w:lang w:eastAsia="ca-ES"/>
        </w:rPr>
        <w:t>Ayuntamiento</w:t>
      </w:r>
      <w:r>
        <w:rPr>
          <w:rFonts w:ascii="Times New Roman" w:eastAsia="Times New Roman" w:hAnsi="Times New Roman" w:cs="Times New Roman"/>
          <w:color w:val="000000"/>
          <w:lang w:eastAsia="ca-ES"/>
        </w:rPr>
        <w:t xml:space="preserve"> </w:t>
      </w:r>
      <w:r>
        <w:rPr>
          <w:rFonts w:ascii="Times New Roman" w:eastAsia="Calibri" w:hAnsi="Times New Roman" w:cs="Times New Roman"/>
        </w:rPr>
        <w:t>dependerá de si la vivienda se encuentra o no ocupada en el momento de la cesión.</w:t>
      </w:r>
    </w:p>
    <w:p w14:paraId="34A67156" w14:textId="77777777" w:rsidR="00237CFA" w:rsidRDefault="00237CFA">
      <w:pPr>
        <w:pStyle w:val="Standard"/>
        <w:spacing w:after="0" w:line="276" w:lineRule="auto"/>
        <w:jc w:val="both"/>
        <w:rPr>
          <w:rFonts w:ascii="Times New Roman" w:eastAsia="Times New Roman" w:hAnsi="Times New Roman" w:cs="Times New Roman"/>
          <w:lang w:eastAsia="ca-ES"/>
        </w:rPr>
      </w:pPr>
    </w:p>
    <w:p w14:paraId="7056D10C" w14:textId="77777777" w:rsidR="00237CFA" w:rsidRDefault="007525FD">
      <w:pPr>
        <w:pStyle w:val="Standard"/>
        <w:numPr>
          <w:ilvl w:val="0"/>
          <w:numId w:val="24"/>
        </w:numPr>
        <w:spacing w:after="0" w:line="276" w:lineRule="auto"/>
        <w:jc w:val="both"/>
      </w:pPr>
      <w:r>
        <w:rPr>
          <w:rFonts w:ascii="Times New Roman" w:eastAsia="Calibri" w:hAnsi="Times New Roman" w:cs="Times New Roman"/>
        </w:rPr>
        <w:t xml:space="preserve">En el supuesto de viviendas ocupadas de forma irregular, la contraprestación será fija y se </w:t>
      </w:r>
      <w:r>
        <w:rPr>
          <w:rFonts w:ascii="Times New Roman" w:eastAsia="Calibri" w:hAnsi="Times New Roman" w:cs="Times New Roman"/>
        </w:rPr>
        <w:t>establecerá en 75 €/mes por cada vivienda ocupada cedida.</w:t>
      </w:r>
    </w:p>
    <w:p w14:paraId="4D9EAD46" w14:textId="77777777" w:rsidR="00237CFA" w:rsidRDefault="00237CFA">
      <w:pPr>
        <w:pStyle w:val="Standard"/>
        <w:spacing w:after="0" w:line="276" w:lineRule="auto"/>
        <w:ind w:left="360"/>
        <w:jc w:val="both"/>
        <w:rPr>
          <w:rFonts w:ascii="Times New Roman" w:eastAsia="Calibri" w:hAnsi="Times New Roman" w:cs="Times New Roman"/>
        </w:rPr>
      </w:pPr>
    </w:p>
    <w:p w14:paraId="5B6A3044" w14:textId="77777777" w:rsidR="00237CFA" w:rsidRDefault="007525FD">
      <w:pPr>
        <w:pStyle w:val="Standard"/>
        <w:numPr>
          <w:ilvl w:val="0"/>
          <w:numId w:val="16"/>
        </w:numPr>
        <w:spacing w:after="0" w:line="276" w:lineRule="auto"/>
        <w:jc w:val="both"/>
      </w:pPr>
      <w:r>
        <w:rPr>
          <w:rFonts w:ascii="Times New Roman" w:eastAsia="Calibri" w:hAnsi="Times New Roman" w:cs="Times New Roman"/>
        </w:rPr>
        <w:t>En caso de viviendas que se encuentren vacías en el momento de la cesión, la contraprestación se establecerá en una cuantía fija de 125 €/mes por cada vivienda vacía cedida.</w:t>
      </w:r>
    </w:p>
    <w:p w14:paraId="13CA98BE" w14:textId="77777777" w:rsidR="00237CFA" w:rsidRDefault="00237CFA">
      <w:pPr>
        <w:pStyle w:val="Standard"/>
        <w:spacing w:after="0" w:line="276" w:lineRule="auto"/>
        <w:jc w:val="both"/>
        <w:rPr>
          <w:rFonts w:ascii="Times New Roman" w:eastAsia="Calibri" w:hAnsi="Times New Roman" w:cs="Times New Roman"/>
        </w:rPr>
      </w:pPr>
    </w:p>
    <w:p w14:paraId="5E52640C" w14:textId="77777777" w:rsidR="00237CFA" w:rsidRDefault="007525FD">
      <w:pPr>
        <w:pStyle w:val="Standard"/>
        <w:spacing w:after="0" w:line="276" w:lineRule="auto"/>
        <w:jc w:val="both"/>
      </w:pPr>
      <w:r>
        <w:rPr>
          <w:rFonts w:ascii="Times New Roman" w:eastAsia="Calibri" w:hAnsi="Times New Roman" w:cs="Times New Roman"/>
        </w:rPr>
        <w:t>La contraprestación a</w:t>
      </w:r>
      <w:r>
        <w:rPr>
          <w:rFonts w:ascii="Times New Roman" w:eastAsia="Calibri" w:hAnsi="Times New Roman" w:cs="Times New Roman"/>
        </w:rPr>
        <w:t>nterior se entiende impuestos excluidos.</w:t>
      </w:r>
    </w:p>
    <w:p w14:paraId="19D514F3" w14:textId="77777777" w:rsidR="00237CFA" w:rsidRDefault="00237CFA">
      <w:pPr>
        <w:pStyle w:val="Standard"/>
        <w:spacing w:after="0" w:line="276" w:lineRule="auto"/>
        <w:jc w:val="both"/>
        <w:rPr>
          <w:rFonts w:ascii="Times New Roman" w:eastAsia="Calibri" w:hAnsi="Times New Roman" w:cs="Times New Roman"/>
        </w:rPr>
      </w:pPr>
    </w:p>
    <w:p w14:paraId="1E917A08" w14:textId="77777777" w:rsidR="00237CFA" w:rsidRDefault="007525FD">
      <w:pPr>
        <w:pStyle w:val="Standard"/>
        <w:numPr>
          <w:ilvl w:val="1"/>
          <w:numId w:val="15"/>
        </w:numPr>
        <w:spacing w:after="0" w:line="276" w:lineRule="auto"/>
        <w:jc w:val="both"/>
      </w:pPr>
      <w:r>
        <w:rPr>
          <w:rFonts w:ascii="Times New Roman" w:eastAsia="Calibri" w:hAnsi="Times New Roman" w:cs="Times New Roman"/>
          <w:b/>
          <w:bCs/>
        </w:rPr>
        <w:t xml:space="preserve"> Devengo y abono de las contraprestaciones</w:t>
      </w:r>
    </w:p>
    <w:p w14:paraId="4E0350E2" w14:textId="77777777" w:rsidR="00237CFA" w:rsidRDefault="00237CFA">
      <w:pPr>
        <w:pStyle w:val="Standard"/>
        <w:spacing w:after="0" w:line="276" w:lineRule="auto"/>
        <w:jc w:val="both"/>
        <w:rPr>
          <w:rFonts w:ascii="Times New Roman" w:eastAsia="Calibri" w:hAnsi="Times New Roman" w:cs="Times New Roman"/>
        </w:rPr>
      </w:pPr>
    </w:p>
    <w:p w14:paraId="7042CEFB" w14:textId="77777777" w:rsidR="00237CFA" w:rsidRDefault="007525FD">
      <w:pPr>
        <w:pStyle w:val="Standard"/>
        <w:spacing w:after="0" w:line="276" w:lineRule="auto"/>
        <w:jc w:val="both"/>
      </w:pPr>
      <w:r>
        <w:rPr>
          <w:rFonts w:ascii="Times New Roman" w:eastAsia="Calibri" w:hAnsi="Times New Roman" w:cs="Times New Roman"/>
        </w:rPr>
        <w:t>El abono de dichas contraprestaciones será independiente del hecho mismo de que la vivienda se encuentre o no arrendada a un inquilino que la destine a vivienda permanent</w:t>
      </w:r>
      <w:r>
        <w:rPr>
          <w:rFonts w:ascii="Times New Roman" w:eastAsia="Calibri" w:hAnsi="Times New Roman" w:cs="Times New Roman"/>
        </w:rPr>
        <w:t>e. Las contraprestaciones se liquidarán a Sareb con una frecuencia trimestral.</w:t>
      </w:r>
    </w:p>
    <w:p w14:paraId="4E0B6E11" w14:textId="77777777" w:rsidR="00237CFA" w:rsidRDefault="00237CFA">
      <w:pPr>
        <w:pStyle w:val="Standard"/>
        <w:spacing w:after="0" w:line="276" w:lineRule="auto"/>
        <w:ind w:left="360"/>
        <w:jc w:val="both"/>
        <w:rPr>
          <w:rFonts w:ascii="Times New Roman" w:eastAsia="Calibri" w:hAnsi="Times New Roman" w:cs="Times New Roman"/>
        </w:rPr>
      </w:pPr>
    </w:p>
    <w:p w14:paraId="278A57D2" w14:textId="77777777" w:rsidR="00237CFA" w:rsidRDefault="007525FD">
      <w:pPr>
        <w:pStyle w:val="Standard"/>
        <w:spacing w:after="0" w:line="276" w:lineRule="auto"/>
        <w:jc w:val="both"/>
      </w:pPr>
      <w:r>
        <w:rPr>
          <w:rFonts w:ascii="Times New Roman" w:eastAsia="Calibri" w:hAnsi="Times New Roman" w:cs="Times New Roman"/>
        </w:rPr>
        <w:t>Se establece un período de carencia de las contraprestaciones establecidas de:</w:t>
      </w:r>
    </w:p>
    <w:p w14:paraId="0157DE5F" w14:textId="77777777" w:rsidR="00237CFA" w:rsidRDefault="00237CFA">
      <w:pPr>
        <w:pStyle w:val="Standard"/>
        <w:spacing w:after="0" w:line="276" w:lineRule="auto"/>
        <w:jc w:val="both"/>
        <w:rPr>
          <w:rFonts w:ascii="Times New Roman" w:eastAsia="Calibri" w:hAnsi="Times New Roman" w:cs="Times New Roman"/>
        </w:rPr>
      </w:pPr>
    </w:p>
    <w:p w14:paraId="22FA9624" w14:textId="77777777" w:rsidR="00237CFA" w:rsidRDefault="007525FD">
      <w:pPr>
        <w:pStyle w:val="Standard"/>
        <w:numPr>
          <w:ilvl w:val="0"/>
          <w:numId w:val="16"/>
        </w:numPr>
        <w:spacing w:after="0" w:line="276" w:lineRule="auto"/>
        <w:jc w:val="both"/>
      </w:pPr>
      <w:r>
        <w:rPr>
          <w:rFonts w:ascii="Times New Roman" w:eastAsia="Calibri" w:hAnsi="Times New Roman" w:cs="Times New Roman"/>
        </w:rPr>
        <w:t>En el caso de viviendas, incluidas en el Apéndice del presente contrato, que en el momento de la</w:t>
      </w:r>
      <w:r>
        <w:rPr>
          <w:rFonts w:ascii="Times New Roman" w:eastAsia="Calibri" w:hAnsi="Times New Roman" w:cs="Times New Roman"/>
        </w:rPr>
        <w:t xml:space="preserve"> cesión estén vacías, la contraprestación se devengará a los 3 meses desde la fecha de la firma del contrato de usufructo.</w:t>
      </w:r>
    </w:p>
    <w:p w14:paraId="025E9C54" w14:textId="77777777" w:rsidR="00237CFA" w:rsidRDefault="007525FD">
      <w:pPr>
        <w:pStyle w:val="Standard"/>
        <w:numPr>
          <w:ilvl w:val="0"/>
          <w:numId w:val="16"/>
        </w:numPr>
        <w:spacing w:after="0" w:line="276" w:lineRule="auto"/>
        <w:jc w:val="both"/>
      </w:pPr>
      <w:r>
        <w:rPr>
          <w:rFonts w:ascii="Times New Roman" w:eastAsia="Calibri" w:hAnsi="Times New Roman" w:cs="Times New Roman"/>
        </w:rPr>
        <w:t>En el caso de viviendas, incluidas en el Apéndice del presente contrato, que en el momento de la cesión estén ocupadas, la contrapres</w:t>
      </w:r>
      <w:r>
        <w:rPr>
          <w:rFonts w:ascii="Times New Roman" w:eastAsia="Calibri" w:hAnsi="Times New Roman" w:cs="Times New Roman"/>
        </w:rPr>
        <w:t>tación se devengará a los 6 meses desde la fecha de la firma del contrato de usufructo.</w:t>
      </w:r>
    </w:p>
    <w:p w14:paraId="029FF8CE"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rPr>
          <w:rFonts w:ascii="Times New Roman" w:eastAsia="Times New Roman" w:hAnsi="Times New Roman" w:cs="Times New Roman"/>
          <w:b/>
          <w:bCs/>
          <w:color w:val="000000"/>
          <w:lang w:eastAsia="ca-ES"/>
        </w:rPr>
      </w:pPr>
    </w:p>
    <w:p w14:paraId="4E18AE19"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proofErr w:type="gramStart"/>
      <w:r>
        <w:rPr>
          <w:rFonts w:ascii="Times New Roman" w:eastAsia="Times New Roman" w:hAnsi="Times New Roman" w:cs="Times New Roman"/>
          <w:b/>
          <w:bCs/>
          <w:color w:val="000000"/>
          <w:lang w:eastAsia="ca-ES"/>
        </w:rPr>
        <w:t>Tercero.-</w:t>
      </w:r>
      <w:proofErr w:type="gramEnd"/>
      <w:r>
        <w:rPr>
          <w:rFonts w:ascii="Times New Roman" w:eastAsia="Times New Roman" w:hAnsi="Times New Roman" w:cs="Times New Roman"/>
          <w:b/>
          <w:bCs/>
          <w:color w:val="000000"/>
          <w:lang w:eastAsia="ca-ES"/>
        </w:rPr>
        <w:t xml:space="preserve"> OBLIGACIONES DE LAS PARTES</w:t>
      </w:r>
    </w:p>
    <w:p w14:paraId="23DBD134"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b/>
          <w:bCs/>
          <w:color w:val="000000"/>
          <w:lang w:eastAsia="ca-ES"/>
        </w:rPr>
      </w:pPr>
    </w:p>
    <w:p w14:paraId="42F5837E"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bCs/>
          <w:color w:val="000000"/>
          <w:lang w:eastAsia="ca-ES"/>
        </w:rPr>
        <w:t>3.1 Gestiones para la gestión y/o arrendamiento de la vivienda</w:t>
      </w:r>
    </w:p>
    <w:p w14:paraId="5FC25D2D"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b/>
          <w:bCs/>
          <w:color w:val="000000"/>
          <w:lang w:eastAsia="ca-ES"/>
        </w:rPr>
      </w:pPr>
    </w:p>
    <w:p w14:paraId="3E7D7079" w14:textId="77777777" w:rsidR="00237CFA" w:rsidRDefault="007525FD">
      <w:pPr>
        <w:pStyle w:val="Standard"/>
        <w:spacing w:after="0" w:line="276" w:lineRule="auto"/>
        <w:jc w:val="both"/>
      </w:pPr>
      <w:r>
        <w:rPr>
          <w:rFonts w:ascii="Times New Roman" w:eastAsia="Times New Roman" w:hAnsi="Times New Roman" w:cs="Times New Roman"/>
          <w:color w:val="000000"/>
          <w:lang w:eastAsia="ca-ES"/>
        </w:rPr>
        <w:t xml:space="preserve">El </w:t>
      </w:r>
      <w:r>
        <w:rPr>
          <w:rFonts w:ascii="Times New Roman" w:eastAsia="Times New Roman" w:hAnsi="Times New Roman" w:cs="Times New Roman"/>
          <w:color w:val="000000"/>
          <w:shd w:val="clear" w:color="auto" w:fill="C0C0C0"/>
          <w:lang w:eastAsia="ca-ES"/>
        </w:rPr>
        <w:t>Ayuntamiento</w:t>
      </w:r>
      <w:r>
        <w:rPr>
          <w:rFonts w:ascii="Times New Roman" w:eastAsia="Times New Roman" w:hAnsi="Times New Roman" w:cs="Times New Roman"/>
          <w:color w:val="000000"/>
          <w:lang w:eastAsia="ca-ES"/>
        </w:rPr>
        <w:t xml:space="preserve"> </w:t>
      </w:r>
      <w:r>
        <w:rPr>
          <w:rFonts w:ascii="Times New Roman" w:eastAsia="Calibri" w:hAnsi="Times New Roman" w:cs="Times New Roman"/>
        </w:rPr>
        <w:t xml:space="preserve">llevará a cabo los procesos de adjudicación de las viviendas cedidas por Sareb, y en su caso intervendrá como arrendadora en los contratos de arrendamiento que suscriban las personas físicas que resulten adjudicatarias y gestionará el cobro de las rentas </w:t>
      </w:r>
      <w:r>
        <w:rPr>
          <w:rFonts w:ascii="Times New Roman" w:eastAsia="Calibri" w:hAnsi="Times New Roman" w:cs="Times New Roman"/>
        </w:rPr>
        <w:t>a los arrendatarios de las viviendas de acuerdo con las condiciones establecidas en la cláusula tercera del Convenio.</w:t>
      </w:r>
    </w:p>
    <w:p w14:paraId="6D50A5B9" w14:textId="77777777" w:rsidR="00237CFA" w:rsidRDefault="00237CFA">
      <w:pPr>
        <w:pStyle w:val="Standard"/>
        <w:spacing w:after="0" w:line="276" w:lineRule="auto"/>
        <w:jc w:val="both"/>
        <w:rPr>
          <w:rFonts w:ascii="Times New Roman" w:eastAsia="Times New Roman" w:hAnsi="Times New Roman" w:cs="Times New Roman"/>
          <w:color w:val="000000"/>
          <w:lang w:eastAsia="ca-ES"/>
        </w:rPr>
      </w:pPr>
    </w:p>
    <w:p w14:paraId="49F2AD42" w14:textId="77777777" w:rsidR="00237CFA" w:rsidRDefault="007525FD">
      <w:pPr>
        <w:pStyle w:val="Standard"/>
        <w:spacing w:after="0" w:line="276" w:lineRule="auto"/>
        <w:ind w:left="360" w:hanging="360"/>
        <w:jc w:val="both"/>
      </w:pPr>
      <w:r>
        <w:rPr>
          <w:rFonts w:ascii="Times New Roman" w:eastAsia="Calibri" w:hAnsi="Times New Roman" w:cs="Times New Roman"/>
          <w:b/>
        </w:rPr>
        <w:t>3.2 Distribución de los gastos de la vivienda</w:t>
      </w:r>
    </w:p>
    <w:p w14:paraId="7DED8AF9" w14:textId="77777777" w:rsidR="00237CFA" w:rsidRDefault="00237CFA">
      <w:pPr>
        <w:pStyle w:val="Standard"/>
        <w:spacing w:after="0" w:line="276" w:lineRule="auto"/>
        <w:ind w:left="360" w:hanging="360"/>
        <w:jc w:val="both"/>
        <w:rPr>
          <w:rFonts w:ascii="Times New Roman" w:eastAsia="Calibri" w:hAnsi="Times New Roman" w:cs="Times New Roman"/>
        </w:rPr>
      </w:pPr>
    </w:p>
    <w:p w14:paraId="1CF97609" w14:textId="77777777" w:rsidR="00237CFA" w:rsidRDefault="007525FD">
      <w:pPr>
        <w:pStyle w:val="Standard"/>
        <w:spacing w:after="0" w:line="276" w:lineRule="auto"/>
        <w:jc w:val="both"/>
      </w:pPr>
      <w:r>
        <w:rPr>
          <w:rFonts w:ascii="Times New Roman" w:eastAsia="Calibri" w:hAnsi="Times New Roman" w:cs="Times New Roman"/>
        </w:rPr>
        <w:t>Durante la totalidad del plazo de vigencia del contrato suscrito, la distribución de los g</w:t>
      </w:r>
      <w:r>
        <w:rPr>
          <w:rFonts w:ascii="Times New Roman" w:eastAsia="Calibri" w:hAnsi="Times New Roman" w:cs="Times New Roman"/>
        </w:rPr>
        <w:t>astos entre las partes se hará de la siguiente forma:</w:t>
      </w:r>
    </w:p>
    <w:p w14:paraId="2931E940" w14:textId="77777777" w:rsidR="00237CFA" w:rsidRDefault="00237CFA">
      <w:pPr>
        <w:pStyle w:val="Standard"/>
        <w:spacing w:after="0" w:line="276" w:lineRule="auto"/>
        <w:ind w:left="708"/>
        <w:jc w:val="both"/>
        <w:rPr>
          <w:rFonts w:ascii="Times New Roman" w:eastAsia="Times New Roman" w:hAnsi="Times New Roman" w:cs="Times New Roman"/>
          <w:lang w:eastAsia="ca-ES"/>
        </w:rPr>
      </w:pPr>
    </w:p>
    <w:p w14:paraId="7ACDF5A4" w14:textId="77777777" w:rsidR="00237CFA" w:rsidRDefault="007525FD">
      <w:pPr>
        <w:pStyle w:val="Standard"/>
        <w:spacing w:after="0" w:line="276" w:lineRule="auto"/>
        <w:ind w:left="624"/>
        <w:jc w:val="both"/>
      </w:pPr>
      <w:r>
        <w:rPr>
          <w:rFonts w:ascii="Times New Roman" w:eastAsia="Calibri" w:hAnsi="Times New Roman" w:cs="Times New Roman"/>
          <w:lang w:eastAsia="es-ES"/>
        </w:rPr>
        <w:t xml:space="preserve">Serán </w:t>
      </w:r>
      <w:proofErr w:type="spellStart"/>
      <w:r>
        <w:rPr>
          <w:rFonts w:ascii="Times New Roman" w:eastAsia="Calibri" w:hAnsi="Times New Roman" w:cs="Times New Roman"/>
          <w:lang w:eastAsia="es-ES"/>
        </w:rPr>
        <w:t>de</w:t>
      </w:r>
      <w:proofErr w:type="spellEnd"/>
      <w:r>
        <w:rPr>
          <w:rFonts w:ascii="Times New Roman" w:eastAsia="Calibri" w:hAnsi="Times New Roman" w:cs="Times New Roman"/>
          <w:lang w:eastAsia="es-ES"/>
        </w:rPr>
        <w:t xml:space="preserve"> cuenta de Sareb los gastos siguientes:</w:t>
      </w:r>
    </w:p>
    <w:p w14:paraId="4A559A06" w14:textId="77777777" w:rsidR="00237CFA" w:rsidRDefault="007525FD">
      <w:pPr>
        <w:pStyle w:val="Standard"/>
        <w:numPr>
          <w:ilvl w:val="0"/>
          <w:numId w:val="25"/>
        </w:numPr>
        <w:spacing w:after="0" w:line="276" w:lineRule="auto"/>
        <w:ind w:left="1428"/>
        <w:jc w:val="both"/>
      </w:pPr>
      <w:r>
        <w:rPr>
          <w:rFonts w:ascii="Times New Roman" w:eastAsia="Calibri" w:hAnsi="Times New Roman" w:cs="Times New Roman"/>
          <w:lang w:eastAsia="es-ES"/>
        </w:rPr>
        <w:t>La cobertura de seguros de las viviendas (daños y responsabilidad civil).</w:t>
      </w:r>
    </w:p>
    <w:p w14:paraId="5102C559" w14:textId="77777777" w:rsidR="00237CFA" w:rsidRDefault="007525FD">
      <w:pPr>
        <w:pStyle w:val="Standard"/>
        <w:numPr>
          <w:ilvl w:val="0"/>
          <w:numId w:val="1"/>
        </w:numPr>
        <w:spacing w:after="0" w:line="276" w:lineRule="auto"/>
        <w:ind w:left="1428"/>
        <w:jc w:val="both"/>
      </w:pPr>
      <w:r>
        <w:rPr>
          <w:rFonts w:ascii="Times New Roman" w:eastAsia="Calibri" w:hAnsi="Times New Roman" w:cs="Times New Roman"/>
          <w:lang w:eastAsia="es-ES"/>
        </w:rPr>
        <w:t xml:space="preserve">En caso de ser necesarias obras de adecuación asumirá su coste al 50%, </w:t>
      </w:r>
      <w:r>
        <w:rPr>
          <w:rFonts w:ascii="Times New Roman" w:eastAsia="Calibri" w:hAnsi="Times New Roman" w:cs="Times New Roman"/>
          <w:lang w:eastAsia="es-ES"/>
        </w:rPr>
        <w:t>hasta un máximo de 7.000€/vivienda. De superarse este límite SAREB podrá optar por dejar la vivienda fuera del alcance del presente convenio.</w:t>
      </w:r>
    </w:p>
    <w:p w14:paraId="7259DA1F" w14:textId="77777777" w:rsidR="00237CFA" w:rsidRDefault="007525FD">
      <w:pPr>
        <w:pStyle w:val="Standard"/>
        <w:numPr>
          <w:ilvl w:val="0"/>
          <w:numId w:val="1"/>
        </w:numPr>
        <w:spacing w:after="0" w:line="276" w:lineRule="auto"/>
        <w:ind w:left="1428"/>
        <w:jc w:val="both"/>
      </w:pPr>
      <w:r>
        <w:rPr>
          <w:rFonts w:ascii="Times New Roman" w:eastAsia="Calibri" w:hAnsi="Times New Roman" w:cs="Times New Roman"/>
          <w:lang w:eastAsia="es-ES"/>
        </w:rPr>
        <w:t>Cuotas de la comunidad de propietarios.</w:t>
      </w:r>
    </w:p>
    <w:p w14:paraId="7C11BB96" w14:textId="77777777" w:rsidR="00237CFA" w:rsidRDefault="007525FD">
      <w:pPr>
        <w:pStyle w:val="Standard"/>
        <w:numPr>
          <w:ilvl w:val="0"/>
          <w:numId w:val="1"/>
        </w:numPr>
        <w:spacing w:after="0" w:line="276" w:lineRule="auto"/>
        <w:ind w:left="1428"/>
        <w:jc w:val="both"/>
      </w:pPr>
      <w:r>
        <w:rPr>
          <w:rFonts w:ascii="Times New Roman" w:eastAsia="Calibri" w:hAnsi="Times New Roman" w:cs="Times New Roman"/>
          <w:lang w:eastAsia="es-ES"/>
        </w:rPr>
        <w:t>Los gastos y reparaciones que tengan carácter extraordinario.</w:t>
      </w:r>
    </w:p>
    <w:p w14:paraId="4F567216" w14:textId="77777777" w:rsidR="00237CFA" w:rsidRDefault="00237CFA">
      <w:pPr>
        <w:pStyle w:val="Standard"/>
        <w:spacing w:after="0" w:line="276" w:lineRule="auto"/>
        <w:jc w:val="both"/>
        <w:rPr>
          <w:rFonts w:ascii="Times New Roman" w:eastAsia="Calibri" w:hAnsi="Times New Roman" w:cs="Times New Roman"/>
          <w:lang w:eastAsia="es-ES"/>
        </w:rPr>
      </w:pPr>
    </w:p>
    <w:p w14:paraId="426394ED" w14:textId="77777777" w:rsidR="00237CFA" w:rsidRDefault="007525FD">
      <w:pPr>
        <w:pStyle w:val="Standard"/>
        <w:spacing w:after="0" w:line="276" w:lineRule="auto"/>
        <w:ind w:left="624"/>
        <w:jc w:val="both"/>
      </w:pPr>
      <w:r>
        <w:rPr>
          <w:rFonts w:ascii="Times New Roman" w:eastAsia="Calibri" w:hAnsi="Times New Roman" w:cs="Times New Roman"/>
          <w:lang w:eastAsia="es-ES"/>
        </w:rPr>
        <w:t>Serán de cu</w:t>
      </w:r>
      <w:r>
        <w:rPr>
          <w:rFonts w:ascii="Times New Roman" w:eastAsia="Calibri" w:hAnsi="Times New Roman" w:cs="Times New Roman"/>
          <w:lang w:eastAsia="es-ES"/>
        </w:rPr>
        <w:t xml:space="preserve">enta del </w:t>
      </w:r>
      <w:r>
        <w:rPr>
          <w:rFonts w:ascii="Times New Roman" w:eastAsia="Calibri" w:hAnsi="Times New Roman" w:cs="Times New Roman"/>
          <w:shd w:val="clear" w:color="auto" w:fill="C0C0C0"/>
          <w:lang w:eastAsia="es-ES"/>
        </w:rPr>
        <w:t>Ayuntamiento</w:t>
      </w:r>
      <w:r>
        <w:rPr>
          <w:rFonts w:ascii="Times New Roman" w:eastAsia="Calibri" w:hAnsi="Times New Roman" w:cs="Times New Roman"/>
          <w:lang w:eastAsia="es-ES"/>
        </w:rPr>
        <w:t>, el resto de los gastos, entre otros, los siguientes:</w:t>
      </w:r>
    </w:p>
    <w:p w14:paraId="01552743" w14:textId="77777777" w:rsidR="00237CFA" w:rsidRDefault="00237CFA">
      <w:pPr>
        <w:pStyle w:val="Standard"/>
        <w:spacing w:after="0" w:line="276" w:lineRule="auto"/>
        <w:ind w:left="624"/>
        <w:jc w:val="both"/>
        <w:rPr>
          <w:rFonts w:ascii="Times New Roman" w:eastAsia="Calibri" w:hAnsi="Times New Roman" w:cs="Times New Roman"/>
          <w:lang w:eastAsia="es-ES"/>
        </w:rPr>
      </w:pPr>
    </w:p>
    <w:p w14:paraId="3ACFDCAE" w14:textId="77777777" w:rsidR="00237CFA" w:rsidRDefault="007525FD">
      <w:pPr>
        <w:pStyle w:val="Standard"/>
        <w:numPr>
          <w:ilvl w:val="0"/>
          <w:numId w:val="1"/>
        </w:numPr>
        <w:spacing w:after="0" w:line="276" w:lineRule="auto"/>
        <w:ind w:left="1428"/>
        <w:jc w:val="both"/>
      </w:pPr>
      <w:r>
        <w:rPr>
          <w:rFonts w:ascii="Times New Roman" w:eastAsia="Calibri" w:hAnsi="Times New Roman" w:cs="Times New Roman"/>
          <w:lang w:eastAsia="es-ES"/>
        </w:rPr>
        <w:t>Cédula de habitabilidad (si no existiera y fuese necesario).</w:t>
      </w:r>
    </w:p>
    <w:p w14:paraId="5351C08C" w14:textId="77777777" w:rsidR="00237CFA" w:rsidRDefault="007525FD">
      <w:pPr>
        <w:pStyle w:val="Standard"/>
        <w:numPr>
          <w:ilvl w:val="0"/>
          <w:numId w:val="1"/>
        </w:numPr>
        <w:spacing w:after="0" w:line="276" w:lineRule="auto"/>
        <w:ind w:left="1428"/>
        <w:jc w:val="both"/>
      </w:pPr>
      <w:r>
        <w:rPr>
          <w:rFonts w:ascii="Times New Roman" w:eastAsia="Calibri" w:hAnsi="Times New Roman" w:cs="Times New Roman"/>
          <w:lang w:eastAsia="es-ES"/>
        </w:rPr>
        <w:t>Certificado de eficiencia energética (si no existiera y fuese necesario).</w:t>
      </w:r>
    </w:p>
    <w:p w14:paraId="0254AF27" w14:textId="77777777" w:rsidR="00237CFA" w:rsidRDefault="007525FD">
      <w:pPr>
        <w:pStyle w:val="Standard"/>
        <w:numPr>
          <w:ilvl w:val="0"/>
          <w:numId w:val="1"/>
        </w:numPr>
        <w:spacing w:after="0" w:line="276" w:lineRule="auto"/>
        <w:ind w:left="1428"/>
        <w:jc w:val="both"/>
      </w:pPr>
      <w:r>
        <w:rPr>
          <w:rFonts w:ascii="Times New Roman" w:eastAsia="Calibri" w:hAnsi="Times New Roman" w:cs="Times New Roman"/>
          <w:lang w:eastAsia="es-ES"/>
        </w:rPr>
        <w:t xml:space="preserve">Gastos ordinarios, derivados del uso diario </w:t>
      </w:r>
      <w:r>
        <w:rPr>
          <w:rFonts w:ascii="Times New Roman" w:eastAsia="Calibri" w:hAnsi="Times New Roman" w:cs="Times New Roman"/>
          <w:lang w:eastAsia="es-ES"/>
        </w:rPr>
        <w:t>de la vivienda y destinados al mantenimiento de la misma y de sus condiciones de habitabilidad (zonas privativas) y cualquier otro tipo de reparación ordinaria.</w:t>
      </w:r>
    </w:p>
    <w:p w14:paraId="05D01B0D" w14:textId="77777777" w:rsidR="00237CFA" w:rsidRDefault="007525FD">
      <w:pPr>
        <w:pStyle w:val="Standard"/>
        <w:spacing w:after="0" w:line="276" w:lineRule="auto"/>
        <w:ind w:left="1428"/>
        <w:jc w:val="both"/>
      </w:pPr>
      <w:r>
        <w:rPr>
          <w:rFonts w:ascii="Times New Roman" w:eastAsia="Calibri" w:hAnsi="Times New Roman" w:cs="Times New Roman"/>
          <w:lang w:eastAsia="es-ES"/>
        </w:rPr>
        <w:t>En caso de ser necesarias obras de adecuación asumirá su coste al 50%, hasta un máximo de 7.000</w:t>
      </w:r>
      <w:r>
        <w:rPr>
          <w:rFonts w:ascii="Times New Roman" w:eastAsia="Calibri" w:hAnsi="Times New Roman" w:cs="Times New Roman"/>
          <w:lang w:eastAsia="es-ES"/>
        </w:rPr>
        <w:t>€/vivienda. De superarse este límite SAREB podrá optar por dejar la vivienda fuera del alcance del presente convenio.</w:t>
      </w:r>
    </w:p>
    <w:p w14:paraId="1BAA77D3" w14:textId="77777777" w:rsidR="00237CFA" w:rsidRDefault="007525FD">
      <w:pPr>
        <w:pStyle w:val="Standard"/>
        <w:numPr>
          <w:ilvl w:val="0"/>
          <w:numId w:val="26"/>
        </w:numPr>
        <w:spacing w:after="0" w:line="276" w:lineRule="auto"/>
        <w:ind w:left="1428"/>
        <w:jc w:val="both"/>
      </w:pPr>
      <w:r>
        <w:rPr>
          <w:rFonts w:ascii="Times New Roman" w:eastAsia="Calibri" w:hAnsi="Times New Roman" w:cs="Times New Roman"/>
          <w:lang w:eastAsia="es-ES"/>
        </w:rPr>
        <w:t>Medidas necesarias para la prevención de la ocupación ilegítima en las viviendas vacías (vigilancia).</w:t>
      </w:r>
    </w:p>
    <w:p w14:paraId="75C3A9AA" w14:textId="77777777" w:rsidR="00237CFA" w:rsidRDefault="007525FD">
      <w:pPr>
        <w:pStyle w:val="Standard"/>
        <w:numPr>
          <w:ilvl w:val="0"/>
          <w:numId w:val="27"/>
        </w:numPr>
        <w:spacing w:after="0" w:line="276" w:lineRule="auto"/>
        <w:ind w:left="1428"/>
        <w:jc w:val="both"/>
      </w:pPr>
      <w:r>
        <w:rPr>
          <w:rFonts w:ascii="Times New Roman" w:eastAsia="Calibri" w:hAnsi="Times New Roman" w:cs="Times New Roman"/>
          <w:lang w:eastAsia="es-ES"/>
        </w:rPr>
        <w:t>Gastos propios de gestión y adminis</w:t>
      </w:r>
      <w:r>
        <w:rPr>
          <w:rFonts w:ascii="Times New Roman" w:eastAsia="Calibri" w:hAnsi="Times New Roman" w:cs="Times New Roman"/>
          <w:lang w:eastAsia="es-ES"/>
        </w:rPr>
        <w:t xml:space="preserve">tración de las viviendas (contabilidad, representación en comunidades de propietarios, depósito de fianzas si se arrendasen las viviendas, </w:t>
      </w:r>
      <w:proofErr w:type="spellStart"/>
      <w:r>
        <w:rPr>
          <w:rFonts w:ascii="Times New Roman" w:eastAsia="Calibri" w:hAnsi="Times New Roman" w:cs="Times New Roman"/>
          <w:lang w:eastAsia="es-ES"/>
        </w:rPr>
        <w:t>etc</w:t>
      </w:r>
      <w:proofErr w:type="spellEnd"/>
      <w:r>
        <w:rPr>
          <w:rFonts w:ascii="Times New Roman" w:eastAsia="Calibri" w:hAnsi="Times New Roman" w:cs="Times New Roman"/>
          <w:lang w:eastAsia="es-ES"/>
        </w:rPr>
        <w:t>).</w:t>
      </w:r>
    </w:p>
    <w:p w14:paraId="6E50CF69" w14:textId="77777777" w:rsidR="00237CFA" w:rsidRDefault="007525FD">
      <w:pPr>
        <w:pStyle w:val="Standard"/>
        <w:numPr>
          <w:ilvl w:val="0"/>
          <w:numId w:val="3"/>
        </w:numPr>
        <w:spacing w:after="0" w:line="276" w:lineRule="auto"/>
        <w:ind w:left="1428"/>
        <w:jc w:val="both"/>
      </w:pPr>
      <w:r>
        <w:rPr>
          <w:rFonts w:ascii="Times New Roman" w:eastAsia="Calibri" w:hAnsi="Times New Roman" w:cs="Times New Roman"/>
          <w:lang w:eastAsia="es-ES"/>
        </w:rPr>
        <w:t>Cuota del Impuesto sobre Bienes Inmuebles (art. 61.1 c) de TRLRHL), sin perjuicio de la aplicación de bonificac</w:t>
      </w:r>
      <w:r>
        <w:rPr>
          <w:rFonts w:ascii="Times New Roman" w:eastAsia="Calibri" w:hAnsi="Times New Roman" w:cs="Times New Roman"/>
          <w:lang w:eastAsia="es-ES"/>
        </w:rPr>
        <w:t>iones en la cuota</w:t>
      </w:r>
    </w:p>
    <w:p w14:paraId="2D31DFEA" w14:textId="77777777" w:rsidR="00237CFA" w:rsidRDefault="00237CFA">
      <w:pPr>
        <w:pStyle w:val="Standard"/>
        <w:spacing w:after="0" w:line="276" w:lineRule="auto"/>
        <w:jc w:val="both"/>
        <w:rPr>
          <w:rFonts w:ascii="Times New Roman" w:eastAsia="Calibri" w:hAnsi="Times New Roman" w:cs="Times New Roman"/>
          <w:b/>
        </w:rPr>
      </w:pPr>
    </w:p>
    <w:p w14:paraId="6D67D5B8" w14:textId="77777777" w:rsidR="00237CFA" w:rsidRDefault="007525FD">
      <w:pPr>
        <w:pStyle w:val="Standard"/>
        <w:spacing w:after="0" w:line="276" w:lineRule="auto"/>
        <w:jc w:val="both"/>
      </w:pPr>
      <w:r>
        <w:rPr>
          <w:rFonts w:ascii="Times New Roman" w:eastAsia="Calibri" w:hAnsi="Times New Roman" w:cs="Times New Roman"/>
          <w:b/>
        </w:rPr>
        <w:t xml:space="preserve">3. 3 Desistimiento de los arrendatarios  </w:t>
      </w:r>
    </w:p>
    <w:p w14:paraId="437ED926" w14:textId="77777777" w:rsidR="00237CFA" w:rsidRDefault="00237CFA">
      <w:pPr>
        <w:pStyle w:val="Standard"/>
        <w:spacing w:after="0" w:line="276" w:lineRule="auto"/>
        <w:jc w:val="both"/>
        <w:rPr>
          <w:rFonts w:ascii="Times New Roman" w:eastAsia="Calibri" w:hAnsi="Times New Roman" w:cs="Times New Roman"/>
        </w:rPr>
      </w:pPr>
    </w:p>
    <w:p w14:paraId="745D5075" w14:textId="77777777" w:rsidR="00237CFA" w:rsidRDefault="007525FD">
      <w:pPr>
        <w:pStyle w:val="Standard"/>
        <w:spacing w:after="0" w:line="276" w:lineRule="auto"/>
        <w:jc w:val="both"/>
      </w:pPr>
      <w:r>
        <w:rPr>
          <w:rFonts w:ascii="Times New Roman" w:eastAsia="Calibri" w:hAnsi="Times New Roman" w:cs="Times New Roman"/>
        </w:rPr>
        <w:t xml:space="preserve">En el supuesto de que los arrendatarios de las viviendas desistan del  contrato, y siempre y cuando se produzca la entrega física de las llaves y de la posesión efectiva del inmueble </w:t>
      </w:r>
      <w:r>
        <w:rPr>
          <w:rFonts w:ascii="Times New Roman" w:eastAsia="Calibri" w:hAnsi="Times New Roman" w:cs="Times New Roman"/>
        </w:rPr>
        <w:t xml:space="preserve">durante la vigencia del convenio, </w:t>
      </w:r>
      <w:r>
        <w:rPr>
          <w:rFonts w:ascii="Times New Roman" w:eastAsia="Times New Roman" w:hAnsi="Times New Roman" w:cs="Times New Roman"/>
          <w:color w:val="000000"/>
          <w:lang w:eastAsia="ca-ES"/>
        </w:rPr>
        <w:t xml:space="preserve">el </w:t>
      </w:r>
      <w:r>
        <w:rPr>
          <w:rFonts w:ascii="Times New Roman" w:eastAsia="Times New Roman" w:hAnsi="Times New Roman" w:cs="Times New Roman"/>
          <w:color w:val="000000"/>
          <w:shd w:val="clear" w:color="auto" w:fill="C0C0C0"/>
          <w:lang w:eastAsia="ca-ES"/>
        </w:rPr>
        <w:t>Ayuntamiento</w:t>
      </w:r>
      <w:r>
        <w:rPr>
          <w:rFonts w:ascii="Times New Roman" w:eastAsia="Times New Roman" w:hAnsi="Times New Roman" w:cs="Times New Roman"/>
          <w:color w:val="000000"/>
          <w:lang w:eastAsia="ca-ES"/>
        </w:rPr>
        <w:t xml:space="preserve"> p</w:t>
      </w:r>
      <w:r>
        <w:rPr>
          <w:rFonts w:ascii="Times New Roman" w:eastAsia="Calibri" w:hAnsi="Times New Roman" w:cs="Times New Roman"/>
        </w:rPr>
        <w:t xml:space="preserve">ondrá en conocimiento de Sareb este hecho, proponiendo, en el caso que tenga una persona y/o familia en riesgo de exclusión residencial, la firma de un nuevo contrato de alquiler con tercera persona </w:t>
      </w:r>
      <w:r>
        <w:rPr>
          <w:rFonts w:ascii="Times New Roman" w:eastAsia="Calibri" w:hAnsi="Times New Roman" w:cs="Times New Roman"/>
        </w:rPr>
        <w:t>siendo opción de Sareb recuperar la vivienda vacía o autorizar la formalización del nuevo contrato de alquiler, aportando, en el caso que tenga una persona y/o unidad familiar en riesgo de exclusión residencial, un nuevo contrato de alquiler con tercera pe</w:t>
      </w:r>
      <w:r>
        <w:rPr>
          <w:rFonts w:ascii="Times New Roman" w:eastAsia="Calibri" w:hAnsi="Times New Roman" w:cs="Times New Roman"/>
        </w:rPr>
        <w:t>rsonas, no operando en este caso la carencia de tres meses para el pago de la contraprestación.</w:t>
      </w:r>
    </w:p>
    <w:p w14:paraId="3AE4878C"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b/>
          <w:color w:val="000000"/>
          <w:lang w:eastAsia="ca-ES"/>
        </w:rPr>
      </w:pPr>
    </w:p>
    <w:p w14:paraId="6C30E730"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proofErr w:type="gramStart"/>
      <w:r>
        <w:rPr>
          <w:rFonts w:ascii="Times New Roman" w:eastAsia="Times New Roman" w:hAnsi="Times New Roman" w:cs="Times New Roman"/>
          <w:b/>
          <w:color w:val="000000"/>
          <w:lang w:eastAsia="ca-ES"/>
        </w:rPr>
        <w:t>Cuarto.-</w:t>
      </w:r>
      <w:proofErr w:type="gramEnd"/>
      <w:r>
        <w:rPr>
          <w:rFonts w:ascii="Times New Roman" w:eastAsia="Times New Roman" w:hAnsi="Times New Roman" w:cs="Times New Roman"/>
          <w:b/>
          <w:color w:val="000000"/>
          <w:lang w:eastAsia="ca-ES"/>
        </w:rPr>
        <w:t xml:space="preserve"> PLAZO DEL CONTRATO</w:t>
      </w:r>
    </w:p>
    <w:p w14:paraId="2B221AC5" w14:textId="77777777" w:rsidR="00237CFA" w:rsidRDefault="00237CFA">
      <w:pPr>
        <w:pStyle w:val="Standard"/>
        <w:spacing w:after="0" w:line="276" w:lineRule="auto"/>
        <w:jc w:val="both"/>
        <w:rPr>
          <w:rFonts w:ascii="Times New Roman" w:eastAsia="Calibri" w:hAnsi="Times New Roman" w:cs="Times New Roman"/>
        </w:rPr>
      </w:pPr>
    </w:p>
    <w:p w14:paraId="5669B4A2" w14:textId="77777777" w:rsidR="00237CFA" w:rsidRDefault="007525FD">
      <w:pPr>
        <w:pStyle w:val="Standard"/>
        <w:spacing w:after="0" w:line="276" w:lineRule="auto"/>
        <w:jc w:val="both"/>
      </w:pPr>
      <w:r>
        <w:rPr>
          <w:rFonts w:ascii="Times New Roman" w:eastAsia="Calibri" w:hAnsi="Times New Roman" w:cs="Times New Roman"/>
        </w:rPr>
        <w:t>El contrato de usufructo tendrá una duración de 4 años.</w:t>
      </w:r>
    </w:p>
    <w:p w14:paraId="3043861E" w14:textId="77777777" w:rsidR="00237CFA" w:rsidRDefault="00237CFA">
      <w:pPr>
        <w:pStyle w:val="Standard"/>
        <w:spacing w:after="0" w:line="276" w:lineRule="auto"/>
        <w:jc w:val="both"/>
        <w:rPr>
          <w:rFonts w:ascii="Times New Roman" w:eastAsia="Calibri" w:hAnsi="Times New Roman" w:cs="Times New Roman"/>
          <w:b/>
        </w:rPr>
      </w:pPr>
    </w:p>
    <w:p w14:paraId="297CE984" w14:textId="77777777" w:rsidR="00237CFA" w:rsidRDefault="007525FD">
      <w:pPr>
        <w:pStyle w:val="Standard"/>
        <w:spacing w:after="0" w:line="276" w:lineRule="auto"/>
        <w:jc w:val="both"/>
      </w:pPr>
      <w:proofErr w:type="gramStart"/>
      <w:r>
        <w:rPr>
          <w:rFonts w:ascii="Times New Roman" w:eastAsia="Calibri" w:hAnsi="Times New Roman" w:cs="Times New Roman"/>
          <w:b/>
        </w:rPr>
        <w:t>Quinto.-</w:t>
      </w:r>
      <w:proofErr w:type="gramEnd"/>
      <w:r>
        <w:rPr>
          <w:rFonts w:ascii="Times New Roman" w:eastAsia="Calibri" w:hAnsi="Times New Roman" w:cs="Times New Roman"/>
          <w:b/>
        </w:rPr>
        <w:t xml:space="preserve"> RESTITUCIÓN DE LA VIVIENDA</w:t>
      </w:r>
    </w:p>
    <w:p w14:paraId="381744C5" w14:textId="77777777" w:rsidR="00237CFA" w:rsidRDefault="00237CFA">
      <w:pPr>
        <w:pStyle w:val="Standard"/>
        <w:spacing w:after="0" w:line="276" w:lineRule="auto"/>
        <w:jc w:val="both"/>
        <w:rPr>
          <w:rFonts w:ascii="Times New Roman" w:eastAsia="Calibri" w:hAnsi="Times New Roman" w:cs="Times New Roman"/>
        </w:rPr>
      </w:pPr>
    </w:p>
    <w:p w14:paraId="6FB60EE8" w14:textId="77777777" w:rsidR="00237CFA" w:rsidRDefault="007525FD">
      <w:pPr>
        <w:pStyle w:val="Standard"/>
        <w:spacing w:after="0" w:line="276" w:lineRule="auto"/>
        <w:jc w:val="both"/>
      </w:pPr>
      <w:r>
        <w:rPr>
          <w:rFonts w:ascii="Times New Roman" w:eastAsia="Calibri" w:hAnsi="Times New Roman" w:cs="Times New Roman"/>
        </w:rPr>
        <w:t>Al término de la cesión, y según pro</w:t>
      </w:r>
      <w:r>
        <w:rPr>
          <w:rFonts w:ascii="Times New Roman" w:eastAsia="Calibri" w:hAnsi="Times New Roman" w:cs="Times New Roman"/>
        </w:rPr>
        <w:t xml:space="preserve">ceda en cada caso, </w:t>
      </w:r>
      <w:r>
        <w:rPr>
          <w:rFonts w:ascii="Times New Roman" w:eastAsia="Times New Roman" w:hAnsi="Times New Roman" w:cs="Times New Roman"/>
          <w:color w:val="000000"/>
          <w:lang w:eastAsia="ca-ES"/>
        </w:rPr>
        <w:t>el Ayuntamiento</w:t>
      </w:r>
      <w:r>
        <w:rPr>
          <w:rFonts w:ascii="Times New Roman" w:eastAsia="Calibri" w:hAnsi="Times New Roman" w:cs="Times New Roman"/>
        </w:rPr>
        <w:t xml:space="preserve"> garantizará que:</w:t>
      </w:r>
    </w:p>
    <w:p w14:paraId="3666D637" w14:textId="77777777" w:rsidR="00237CFA" w:rsidRDefault="00237CFA">
      <w:pPr>
        <w:pStyle w:val="Standard"/>
        <w:spacing w:after="0" w:line="276" w:lineRule="auto"/>
        <w:ind w:left="360"/>
        <w:jc w:val="both"/>
        <w:rPr>
          <w:rFonts w:ascii="Times New Roman" w:eastAsia="Calibri" w:hAnsi="Times New Roman" w:cs="Times New Roman"/>
        </w:rPr>
      </w:pPr>
    </w:p>
    <w:p w14:paraId="2234C03E" w14:textId="77777777" w:rsidR="00237CFA" w:rsidRDefault="007525FD">
      <w:pPr>
        <w:pStyle w:val="Standard"/>
        <w:numPr>
          <w:ilvl w:val="0"/>
          <w:numId w:val="28"/>
        </w:numPr>
        <w:spacing w:after="0" w:line="276" w:lineRule="auto"/>
        <w:jc w:val="both"/>
      </w:pPr>
      <w:r>
        <w:rPr>
          <w:rFonts w:ascii="Times New Roman" w:eastAsia="Calibri" w:hAnsi="Times New Roman" w:cs="Times New Roman"/>
        </w:rPr>
        <w:t>las viviendas serán devueltas a Sareb vacías y en adecuadas condiciones de habitabilidad, de modo que ésta pueda tomar plena posesión de las mismas; o</w:t>
      </w:r>
    </w:p>
    <w:p w14:paraId="5CBFD035" w14:textId="77777777" w:rsidR="00237CFA" w:rsidRDefault="00237CFA">
      <w:pPr>
        <w:pStyle w:val="Standard"/>
        <w:spacing w:after="0" w:line="276" w:lineRule="auto"/>
        <w:ind w:left="720"/>
        <w:jc w:val="both"/>
        <w:rPr>
          <w:rFonts w:ascii="Times New Roman" w:eastAsia="Calibri" w:hAnsi="Times New Roman" w:cs="Times New Roman"/>
        </w:rPr>
      </w:pPr>
    </w:p>
    <w:p w14:paraId="45A3583F" w14:textId="77777777" w:rsidR="00237CFA" w:rsidRDefault="007525FD">
      <w:pPr>
        <w:pStyle w:val="Standard"/>
        <w:numPr>
          <w:ilvl w:val="0"/>
          <w:numId w:val="18"/>
        </w:numPr>
        <w:spacing w:after="0" w:line="276" w:lineRule="auto"/>
        <w:jc w:val="both"/>
      </w:pPr>
      <w:r>
        <w:rPr>
          <w:rFonts w:ascii="Times New Roman" w:eastAsia="Calibri" w:hAnsi="Times New Roman" w:cs="Times New Roman"/>
        </w:rPr>
        <w:t>Sareb, o la sociedad que ésta determine, se subroga</w:t>
      </w:r>
      <w:r>
        <w:rPr>
          <w:rFonts w:ascii="Times New Roman" w:eastAsia="Calibri" w:hAnsi="Times New Roman" w:cs="Times New Roman"/>
        </w:rPr>
        <w:t>rá en el contrato de arrendamiento que en esa fecha se halle vigente, si bien será condición de la subrogación que el arrendatario se encuentre al corriente de pago de la renta en el momento en que dicha subrogación haya de tener lugar.</w:t>
      </w:r>
    </w:p>
    <w:p w14:paraId="267D3E4F"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rPr>
          <w:rFonts w:ascii="Times New Roman" w:eastAsia="Times New Roman" w:hAnsi="Times New Roman" w:cs="Times New Roman"/>
          <w:color w:val="000000"/>
          <w:lang w:eastAsia="ca-ES"/>
        </w:rPr>
      </w:pPr>
    </w:p>
    <w:p w14:paraId="2DCC12E0"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proofErr w:type="gramStart"/>
      <w:r>
        <w:rPr>
          <w:rFonts w:ascii="Times New Roman" w:eastAsia="Times New Roman" w:hAnsi="Times New Roman" w:cs="Times New Roman"/>
          <w:b/>
          <w:bCs/>
          <w:color w:val="000000"/>
          <w:lang w:eastAsia="ca-ES"/>
        </w:rPr>
        <w:t>Sexto.-</w:t>
      </w:r>
      <w:proofErr w:type="gramEnd"/>
      <w:r>
        <w:rPr>
          <w:rFonts w:ascii="Times New Roman" w:eastAsia="Times New Roman" w:hAnsi="Times New Roman" w:cs="Times New Roman"/>
          <w:b/>
          <w:bCs/>
          <w:color w:val="000000"/>
          <w:lang w:eastAsia="ca-ES"/>
        </w:rPr>
        <w:t xml:space="preserve"> </w:t>
      </w:r>
      <w:r>
        <w:rPr>
          <w:rFonts w:ascii="Times New Roman" w:eastAsia="Times New Roman" w:hAnsi="Times New Roman" w:cs="Times New Roman"/>
          <w:b/>
          <w:bCs/>
          <w:color w:val="000000"/>
          <w:lang w:eastAsia="ca-ES"/>
        </w:rPr>
        <w:t>CONSECUENCIAS DEL INCUMPLIMIENTO DE LAS OBLIGACIONES</w:t>
      </w:r>
    </w:p>
    <w:p w14:paraId="08FCDB5E"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67785D45"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bCs/>
          <w:color w:val="000000"/>
          <w:lang w:eastAsia="ca-ES"/>
        </w:rPr>
        <w:t>6.1 Resolución por incumplimiento del contrato</w:t>
      </w:r>
    </w:p>
    <w:p w14:paraId="0F9EFBC8"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612DE7B8"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color w:val="000000"/>
          <w:lang w:eastAsia="ca-ES"/>
        </w:rPr>
        <w:t>Son causas de resolución del presente contrato el incumplimiento grave de las obligaciones asumidas por las partes.</w:t>
      </w:r>
    </w:p>
    <w:p w14:paraId="391F634C"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04313234"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bCs/>
          <w:lang w:eastAsia="ca-ES"/>
        </w:rPr>
        <w:t>6.2 Consecuencias del incumplimiento</w:t>
      </w:r>
      <w:r>
        <w:rPr>
          <w:rFonts w:ascii="Times New Roman" w:eastAsia="Times New Roman" w:hAnsi="Times New Roman" w:cs="Times New Roman"/>
          <w:b/>
          <w:bCs/>
          <w:lang w:eastAsia="ca-ES"/>
        </w:rPr>
        <w:t xml:space="preserve"> grave</w:t>
      </w:r>
    </w:p>
    <w:p w14:paraId="6E5FB554"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68BC3972"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lang w:eastAsia="ca-ES"/>
        </w:rPr>
        <w:t>El incumplimiento de las obligaciones asumidas por cualquiera de las partes facultará a la otra a escoger entre una de las dos opciones siguientes:</w:t>
      </w:r>
    </w:p>
    <w:p w14:paraId="17F4B3D7"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21A40863" w14:textId="77777777" w:rsidR="00237CFA" w:rsidRDefault="007525FD">
      <w:pPr>
        <w:pStyle w:val="Standard"/>
        <w:widowControl w:val="0"/>
        <w:numPr>
          <w:ilvl w:val="0"/>
          <w:numId w:val="2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lang w:eastAsia="ca-ES"/>
        </w:rPr>
        <w:t xml:space="preserve">  Exigir el cumplimiento del contrato.</w:t>
      </w:r>
    </w:p>
    <w:p w14:paraId="2CE28A2B" w14:textId="77777777" w:rsidR="00237CFA" w:rsidRDefault="007525FD">
      <w:pPr>
        <w:pStyle w:val="Standard"/>
        <w:widowControl w:val="0"/>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lang w:eastAsia="ca-ES"/>
        </w:rPr>
        <w:t xml:space="preserve">  Resolver el contrato, con resarcimiento de los daños y </w:t>
      </w:r>
      <w:r>
        <w:rPr>
          <w:rFonts w:ascii="Times New Roman" w:eastAsia="Times New Roman" w:hAnsi="Times New Roman" w:cs="Times New Roman"/>
          <w:lang w:eastAsia="ca-ES"/>
        </w:rPr>
        <w:t>perjuicios y abono de intereses.</w:t>
      </w:r>
    </w:p>
    <w:p w14:paraId="09DB630C"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40738B84"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b/>
          <w:bCs/>
          <w:lang w:eastAsia="ca-ES"/>
        </w:rPr>
        <w:t>6.2 Consecuencias del incumplimiento de las obligaciones del pacto Quinto</w:t>
      </w:r>
    </w:p>
    <w:p w14:paraId="2BBC1DB9"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6ACD02B8"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lang w:eastAsia="ca-ES"/>
        </w:rPr>
        <w:t>Si llegado término de la cesión (o expirado el contrato por otra causa), el cesionario no devuelve la posesión, o la devolución de la posesión no s</w:t>
      </w:r>
      <w:r>
        <w:rPr>
          <w:rFonts w:ascii="Times New Roman" w:eastAsia="Times New Roman" w:hAnsi="Times New Roman" w:cs="Times New Roman"/>
          <w:lang w:eastAsia="ca-ES"/>
        </w:rPr>
        <w:t>e ajusta a lo establecido en el pacto Quinto, se seguirán devengando a favor de Sareb las contraprestaciones previstas en el pacto Segundo.</w:t>
      </w:r>
    </w:p>
    <w:p w14:paraId="55EE35BE"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2E909F41"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proofErr w:type="gramStart"/>
      <w:r>
        <w:rPr>
          <w:rFonts w:ascii="Times New Roman" w:eastAsia="Times New Roman" w:hAnsi="Times New Roman" w:cs="Times New Roman"/>
          <w:b/>
          <w:bCs/>
          <w:lang w:eastAsia="ca-ES"/>
        </w:rPr>
        <w:t>Séptimo.-</w:t>
      </w:r>
      <w:proofErr w:type="gramEnd"/>
      <w:r>
        <w:rPr>
          <w:rFonts w:ascii="Times New Roman" w:eastAsia="Times New Roman" w:hAnsi="Times New Roman" w:cs="Times New Roman"/>
          <w:b/>
          <w:bCs/>
          <w:lang w:eastAsia="ca-ES"/>
        </w:rPr>
        <w:t xml:space="preserve"> LEY APLICABLE</w:t>
      </w:r>
    </w:p>
    <w:p w14:paraId="7D3A434C"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3F34ADC6"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lang w:eastAsia="ca-ES"/>
        </w:rPr>
        <w:t xml:space="preserve">El presente contrato de usufructo se regirá por la voluntad de las partes manifestada en </w:t>
      </w:r>
      <w:proofErr w:type="gramStart"/>
      <w:r>
        <w:rPr>
          <w:rFonts w:ascii="Times New Roman" w:eastAsia="Times New Roman" w:hAnsi="Times New Roman" w:cs="Times New Roman"/>
          <w:lang w:eastAsia="ca-ES"/>
        </w:rPr>
        <w:t>é</w:t>
      </w:r>
      <w:r>
        <w:rPr>
          <w:rFonts w:ascii="Times New Roman" w:eastAsia="Times New Roman" w:hAnsi="Times New Roman" w:cs="Times New Roman"/>
          <w:lang w:eastAsia="ca-ES"/>
        </w:rPr>
        <w:t>ste</w:t>
      </w:r>
      <w:proofErr w:type="gramEnd"/>
      <w:r>
        <w:rPr>
          <w:rFonts w:ascii="Times New Roman" w:eastAsia="Times New Roman" w:hAnsi="Times New Roman" w:cs="Times New Roman"/>
          <w:lang w:eastAsia="ca-ES"/>
        </w:rPr>
        <w:t xml:space="preserve"> contrato y en lo que no se prevea expresamente por lo que dispone el Convenio y por lo previsto en el Código Civil (arts. 467 y siguientes).</w:t>
      </w:r>
    </w:p>
    <w:p w14:paraId="62FB65CF"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617DB114"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r>
        <w:rPr>
          <w:rFonts w:ascii="Times New Roman" w:eastAsia="Times New Roman" w:hAnsi="Times New Roman" w:cs="Times New Roman"/>
          <w:lang w:eastAsia="ca-ES"/>
        </w:rPr>
        <w:t xml:space="preserve">No </w:t>
      </w:r>
      <w:proofErr w:type="gramStart"/>
      <w:r>
        <w:rPr>
          <w:rFonts w:ascii="Times New Roman" w:eastAsia="Times New Roman" w:hAnsi="Times New Roman" w:cs="Times New Roman"/>
          <w:lang w:eastAsia="ca-ES"/>
        </w:rPr>
        <w:t>obstante</w:t>
      </w:r>
      <w:proofErr w:type="gramEnd"/>
      <w:r>
        <w:rPr>
          <w:rFonts w:ascii="Times New Roman" w:eastAsia="Times New Roman" w:hAnsi="Times New Roman" w:cs="Times New Roman"/>
          <w:lang w:eastAsia="ca-ES"/>
        </w:rPr>
        <w:t xml:space="preserve"> lo dispuesto en el párrafo anterior, el usufructo se cede como intransmisible, por razón de la fin</w:t>
      </w:r>
      <w:r>
        <w:rPr>
          <w:rFonts w:ascii="Times New Roman" w:eastAsia="Times New Roman" w:hAnsi="Times New Roman" w:cs="Times New Roman"/>
          <w:lang w:eastAsia="ca-ES"/>
        </w:rPr>
        <w:t>alidad social y no será de aplicación lo previsto en el art. 491 del Código Civil.</w:t>
      </w:r>
    </w:p>
    <w:p w14:paraId="2DFF4846"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rPr>
          <w:rFonts w:ascii="Times New Roman" w:eastAsia="Times New Roman" w:hAnsi="Times New Roman" w:cs="Times New Roman"/>
          <w:b/>
          <w:bCs/>
          <w:lang w:eastAsia="ca-ES"/>
        </w:rPr>
      </w:pPr>
    </w:p>
    <w:p w14:paraId="35847082"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proofErr w:type="gramStart"/>
      <w:r>
        <w:rPr>
          <w:rFonts w:ascii="Times New Roman" w:eastAsia="Times New Roman" w:hAnsi="Times New Roman" w:cs="Times New Roman"/>
          <w:b/>
          <w:bCs/>
          <w:lang w:eastAsia="ca-ES"/>
        </w:rPr>
        <w:t>Octavo.-</w:t>
      </w:r>
      <w:proofErr w:type="gramEnd"/>
      <w:r>
        <w:rPr>
          <w:rFonts w:ascii="Times New Roman" w:eastAsia="Times New Roman" w:hAnsi="Times New Roman" w:cs="Times New Roman"/>
          <w:b/>
          <w:bCs/>
          <w:lang w:eastAsia="ca-ES"/>
        </w:rPr>
        <w:t xml:space="preserve"> DOMICILIO A EFECTOS DE NOTIFICACIÓN</w:t>
      </w:r>
    </w:p>
    <w:p w14:paraId="34DD0537"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1E1DEE97"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lang w:eastAsia="ca-ES"/>
        </w:rPr>
        <w:t>Ambas partes designan como domicilio a efecto de notificaciones, el indicado en la comparecencia de este contrato.</w:t>
      </w:r>
    </w:p>
    <w:p w14:paraId="7D56E800"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0A0F3D57"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outlineLvl w:val="0"/>
      </w:pPr>
      <w:proofErr w:type="gramStart"/>
      <w:r>
        <w:rPr>
          <w:rFonts w:ascii="Times New Roman" w:eastAsia="Times New Roman" w:hAnsi="Times New Roman" w:cs="Times New Roman"/>
          <w:b/>
          <w:bCs/>
          <w:color w:val="000000"/>
          <w:lang w:eastAsia="ca-ES"/>
        </w:rPr>
        <w:t>Noveno.-</w:t>
      </w:r>
      <w:proofErr w:type="gramEnd"/>
      <w:r>
        <w:rPr>
          <w:rFonts w:ascii="Times New Roman" w:eastAsia="Times New Roman" w:hAnsi="Times New Roman" w:cs="Times New Roman"/>
          <w:b/>
          <w:bCs/>
          <w:color w:val="000000"/>
          <w:lang w:eastAsia="ca-ES"/>
        </w:rPr>
        <w:t xml:space="preserve"> JURISDICCIÓN COMPETENTE</w:t>
      </w:r>
    </w:p>
    <w:p w14:paraId="05B0F778"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lang w:eastAsia="ca-ES"/>
        </w:rPr>
      </w:pPr>
    </w:p>
    <w:p w14:paraId="7112674B" w14:textId="77777777" w:rsidR="00237CFA" w:rsidRDefault="007525FD">
      <w:pPr>
        <w:pStyle w:val="Standard"/>
        <w:numPr>
          <w:ilvl w:val="1"/>
          <w:numId w:val="20"/>
        </w:numPr>
        <w:spacing w:after="0" w:line="276" w:lineRule="auto"/>
        <w:jc w:val="both"/>
      </w:pPr>
      <w:r>
        <w:rPr>
          <w:rFonts w:ascii="Times New Roman" w:eastAsia="Calibri" w:hAnsi="Times New Roman" w:cs="Times New Roman"/>
        </w:rPr>
        <w:t>Las controversias que puedan plantearse sobre la interpretación, modificación, efectos y resolución del presente contrato las resolverá la Comisión de Seguimiento.</w:t>
      </w:r>
    </w:p>
    <w:p w14:paraId="6A11AAFE" w14:textId="77777777" w:rsidR="00237CFA" w:rsidRDefault="00237CFA">
      <w:pPr>
        <w:pStyle w:val="Standard"/>
        <w:spacing w:after="0" w:line="276" w:lineRule="auto"/>
        <w:ind w:left="357"/>
        <w:jc w:val="both"/>
        <w:rPr>
          <w:rFonts w:ascii="Times New Roman" w:eastAsia="Calibri" w:hAnsi="Times New Roman" w:cs="Times New Roman"/>
        </w:rPr>
      </w:pPr>
    </w:p>
    <w:p w14:paraId="42D9D121" w14:textId="77777777" w:rsidR="00237CFA" w:rsidRDefault="007525FD">
      <w:pPr>
        <w:pStyle w:val="Standard"/>
        <w:widowControl w:val="0"/>
        <w:numPr>
          <w:ilvl w:val="1"/>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Calibri" w:hAnsi="Times New Roman" w:cs="Times New Roman"/>
        </w:rPr>
        <w:t>A falta de acuerdo, las partes se someten irrevocablement</w:t>
      </w:r>
      <w:r>
        <w:rPr>
          <w:rFonts w:ascii="Times New Roman" w:eastAsia="Calibri" w:hAnsi="Times New Roman" w:cs="Times New Roman"/>
        </w:rPr>
        <w:t>e a la jurisdicción de los Juzgados y Tribunales competentes según el Convenio.</w:t>
      </w:r>
    </w:p>
    <w:p w14:paraId="3938A652" w14:textId="77777777" w:rsidR="00237CFA" w:rsidRDefault="00237CFA">
      <w:pPr>
        <w:pStyle w:val="Prrafodelista"/>
        <w:spacing w:line="276" w:lineRule="auto"/>
        <w:rPr>
          <w:rFonts w:ascii="Times New Roman" w:eastAsia="Times New Roman" w:hAnsi="Times New Roman" w:cs="Times New Roman"/>
          <w:lang w:eastAsia="ca-ES"/>
        </w:rPr>
      </w:pPr>
    </w:p>
    <w:p w14:paraId="4D516EA1" w14:textId="77777777" w:rsidR="00237CFA" w:rsidRDefault="007525FD">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pPr>
      <w:r>
        <w:rPr>
          <w:rFonts w:ascii="Times New Roman" w:eastAsia="Times New Roman" w:hAnsi="Times New Roman" w:cs="Times New Roman"/>
          <w:color w:val="000000"/>
          <w:lang w:eastAsia="ca-ES"/>
        </w:rPr>
        <w:t>Como prueba de conformidad, suscriben el presente contrato, por duplicado y a un solo efecto, en el lugar y fecha señalados anteriormente.</w:t>
      </w:r>
    </w:p>
    <w:p w14:paraId="480E0455"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5CC915A8"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2950B3A3" w14:textId="77777777" w:rsidR="00237CFA" w:rsidRDefault="00237CFA">
      <w:pPr>
        <w:pStyle w:val="Standard"/>
        <w:spacing w:after="0" w:line="276" w:lineRule="auto"/>
        <w:jc w:val="both"/>
        <w:rPr>
          <w:rFonts w:ascii="Times New Roman" w:eastAsia="Calibri" w:hAnsi="Times New Roman" w:cs="Times New Roman"/>
          <w:color w:val="000000"/>
          <w:lang w:eastAsia="es-ES"/>
        </w:rPr>
      </w:pPr>
    </w:p>
    <w:p w14:paraId="18083362" w14:textId="77777777" w:rsidR="00237CFA" w:rsidRDefault="007525FD">
      <w:pPr>
        <w:pStyle w:val="Standard"/>
        <w:spacing w:after="0" w:line="276" w:lineRule="auto"/>
        <w:jc w:val="both"/>
      </w:pPr>
      <w:proofErr w:type="spellStart"/>
      <w:r>
        <w:rPr>
          <w:rFonts w:ascii="Times New Roman" w:eastAsia="Calibri" w:hAnsi="Times New Roman" w:cs="Times New Roman"/>
          <w:color w:val="000000"/>
          <w:lang w:eastAsia="es-ES"/>
        </w:rPr>
        <w:t>Fdo</w:t>
      </w:r>
      <w:proofErr w:type="spellEnd"/>
      <w:r>
        <w:rPr>
          <w:rFonts w:ascii="Times New Roman" w:eastAsia="Calibri" w:hAnsi="Times New Roman" w:cs="Times New Roman"/>
          <w:color w:val="000000"/>
          <w:lang w:eastAsia="es-ES"/>
        </w:rPr>
        <w:t>:</w:t>
      </w:r>
      <w:r>
        <w:rPr>
          <w:rFonts w:ascii="Times New Roman" w:eastAsia="Times New Roman" w:hAnsi="Times New Roman" w:cs="Times New Roman"/>
          <w:lang w:eastAsia="ca-ES"/>
        </w:rPr>
        <w:t xml:space="preserve"> </w:t>
      </w:r>
      <w:r>
        <w:rPr>
          <w:rFonts w:ascii="Times New Roman" w:eastAsia="Calibri" w:hAnsi="Times New Roman" w:cs="Times New Roman"/>
          <w:shd w:val="clear" w:color="auto" w:fill="C0C0C0"/>
          <w:lang w:eastAsia="es-ES"/>
        </w:rPr>
        <w:t>[insertar nombre]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eastAsia="Calibri" w:hAnsi="Times New Roman" w:cs="Times New Roman"/>
          <w:lang w:eastAsia="es-ES"/>
        </w:rPr>
        <w:t>Fdo</w:t>
      </w:r>
      <w:proofErr w:type="spellEnd"/>
      <w:r>
        <w:rPr>
          <w:rFonts w:ascii="Times New Roman" w:eastAsia="Calibri" w:hAnsi="Times New Roman" w:cs="Times New Roman"/>
          <w:lang w:eastAsia="es-ES"/>
        </w:rPr>
        <w:t>: [</w:t>
      </w:r>
      <w:r>
        <w:rPr>
          <w:rFonts w:ascii="Times New Roman" w:eastAsia="Calibri" w:hAnsi="Times New Roman" w:cs="Times New Roman"/>
          <w:shd w:val="clear" w:color="auto" w:fill="B2B2B2"/>
          <w:lang w:eastAsia="es-ES"/>
        </w:rPr>
        <w:t>insertar nombre</w:t>
      </w:r>
      <w:r>
        <w:rPr>
          <w:rFonts w:ascii="Times New Roman" w:eastAsia="Calibri" w:hAnsi="Times New Roman" w:cs="Times New Roman"/>
          <w:lang w:eastAsia="es-ES"/>
        </w:rPr>
        <w:t>]</w:t>
      </w:r>
    </w:p>
    <w:p w14:paraId="0DA7EECD" w14:textId="77777777" w:rsidR="00237CFA" w:rsidRDefault="007525FD">
      <w:pPr>
        <w:pStyle w:val="Standard"/>
        <w:spacing w:after="0" w:line="276" w:lineRule="auto"/>
        <w:jc w:val="both"/>
      </w:pPr>
      <w:r>
        <w:rPr>
          <w:rFonts w:ascii="Times New Roman" w:eastAsia="Times New Roman" w:hAnsi="Times New Roman" w:cs="Times New Roman"/>
          <w:shd w:val="clear" w:color="auto" w:fill="C0C0C0"/>
          <w:lang w:eastAsia="ca-ES"/>
        </w:rPr>
        <w:t>[insertar institución]</w:t>
      </w:r>
      <w:r>
        <w:rPr>
          <w:rFonts w:ascii="Times New Roman" w:eastAsia="Times New Roman" w:hAnsi="Times New Roman" w:cs="Times New Roman"/>
          <w:lang w:eastAsia="ca-ES"/>
        </w:rPr>
        <w:t xml:space="preserve"> </w:t>
      </w:r>
      <w:r>
        <w:rPr>
          <w:rFonts w:ascii="Times New Roman" w:eastAsia="Times New Roman" w:hAnsi="Times New Roman" w:cs="Times New Roman"/>
          <w:lang w:eastAsia="ca-ES"/>
        </w:rPr>
        <w:tab/>
      </w:r>
      <w:r>
        <w:rPr>
          <w:rFonts w:ascii="Times New Roman" w:eastAsia="Times New Roman" w:hAnsi="Times New Roman" w:cs="Times New Roman"/>
          <w:lang w:eastAsia="ca-ES"/>
        </w:rPr>
        <w:tab/>
      </w:r>
      <w:r>
        <w:rPr>
          <w:rFonts w:ascii="Times New Roman" w:eastAsia="Times New Roman" w:hAnsi="Times New Roman" w:cs="Times New Roman"/>
          <w:lang w:eastAsia="ca-ES"/>
        </w:rPr>
        <w:tab/>
      </w:r>
      <w:r>
        <w:rPr>
          <w:rFonts w:ascii="Times New Roman" w:eastAsia="Times New Roman" w:hAnsi="Times New Roman" w:cs="Times New Roman"/>
          <w:lang w:eastAsia="ca-ES"/>
        </w:rPr>
        <w:tab/>
      </w:r>
      <w:r>
        <w:rPr>
          <w:rFonts w:ascii="Times New Roman" w:eastAsia="Calibri" w:hAnsi="Times New Roman" w:cs="Times New Roman"/>
          <w:lang w:eastAsia="es-ES"/>
        </w:rPr>
        <w:t>SAREB</w:t>
      </w:r>
    </w:p>
    <w:p w14:paraId="7E80EAC9"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32BC29B1"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77982AC3"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23AD7546"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5078D0C6"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45EE2DAC" w14:textId="77777777" w:rsidR="00237CFA" w:rsidRDefault="00237CFA">
      <w:pPr>
        <w:pStyle w:val="Standard"/>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both"/>
        <w:rPr>
          <w:rFonts w:ascii="Times New Roman" w:eastAsia="Times New Roman" w:hAnsi="Times New Roman" w:cs="Times New Roman"/>
          <w:color w:val="000000"/>
          <w:lang w:eastAsia="ca-ES"/>
        </w:rPr>
      </w:pPr>
    </w:p>
    <w:p w14:paraId="5D5AEEFB" w14:textId="77777777" w:rsidR="00237CFA" w:rsidRDefault="007525FD">
      <w:pPr>
        <w:pStyle w:val="Standard"/>
        <w:spacing w:after="200" w:line="276" w:lineRule="auto"/>
        <w:jc w:val="both"/>
      </w:pPr>
      <w:r>
        <w:rPr>
          <w:rFonts w:ascii="Times New Roman" w:eastAsia="Times New Roman" w:hAnsi="Times New Roman" w:cs="Times New Roman"/>
          <w:b/>
          <w:lang w:eastAsia="ca-ES"/>
        </w:rPr>
        <w:t>Apéndice - Relación de viviendas objeto del contrato de usufructo</w:t>
      </w:r>
    </w:p>
    <w:sectPr w:rsidR="00237CFA">
      <w:headerReference w:type="even" r:id="rId7"/>
      <w:headerReference w:type="default" r:id="rId8"/>
      <w:footerReference w:type="even" r:id="rId9"/>
      <w:footerReference w:type="default" r:id="rId10"/>
      <w:pgSz w:w="11906" w:h="16838"/>
      <w:pgMar w:top="1418"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F6AE" w14:textId="77777777" w:rsidR="007525FD" w:rsidRDefault="007525FD">
      <w:pPr>
        <w:spacing w:after="0" w:line="240" w:lineRule="auto"/>
      </w:pPr>
      <w:r>
        <w:separator/>
      </w:r>
    </w:p>
  </w:endnote>
  <w:endnote w:type="continuationSeparator" w:id="0">
    <w:p w14:paraId="51A3D19F" w14:textId="77777777" w:rsidR="007525FD" w:rsidRDefault="0075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05CB" w14:textId="77777777" w:rsidR="00824475" w:rsidRDefault="007525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E18E" w14:textId="77777777" w:rsidR="00824475" w:rsidRDefault="007525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10AD" w14:textId="77777777" w:rsidR="007525FD" w:rsidRDefault="007525FD">
      <w:pPr>
        <w:spacing w:after="0" w:line="240" w:lineRule="auto"/>
      </w:pPr>
      <w:r>
        <w:rPr>
          <w:color w:val="000000"/>
        </w:rPr>
        <w:separator/>
      </w:r>
    </w:p>
  </w:footnote>
  <w:footnote w:type="continuationSeparator" w:id="0">
    <w:p w14:paraId="00943C7D" w14:textId="77777777" w:rsidR="007525FD" w:rsidRDefault="0075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6D1" w14:textId="77777777" w:rsidR="00824475" w:rsidRDefault="007525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5F3A" w14:textId="77777777" w:rsidR="00824475" w:rsidRDefault="007525FD">
    <w:pPr>
      <w:pStyle w:val="Encabezado"/>
      <w:jc w:val="right"/>
    </w:pPr>
    <w:r>
      <w:rPr>
        <w:color w:val="009999"/>
      </w:rPr>
      <w:t>Borrador sujeto a cambios</w:t>
    </w:r>
  </w:p>
  <w:p w14:paraId="0957E933" w14:textId="77777777" w:rsidR="00824475" w:rsidRDefault="007525FD">
    <w:pPr>
      <w:pStyle w:val="Encabezado"/>
      <w:rPr>
        <w:b/>
        <w:bCs/>
      </w:rPr>
    </w:pPr>
  </w:p>
  <w:p w14:paraId="0C99F4B1" w14:textId="77777777" w:rsidR="00824475" w:rsidRDefault="007525FD">
    <w:pPr>
      <w:pStyle w:val="Encabezado"/>
      <w:ind w:firstLine="708"/>
    </w:pPr>
    <w:r>
      <w:t xml:space="preserve"> </w:t>
    </w:r>
    <w:r>
      <w:tab/>
    </w: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741"/>
    <w:multiLevelType w:val="multilevel"/>
    <w:tmpl w:val="F8B28F8E"/>
    <w:styleLink w:val="WWNum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 w15:restartNumberingAfterBreak="0">
    <w:nsid w:val="0DE77B3C"/>
    <w:multiLevelType w:val="multilevel"/>
    <w:tmpl w:val="DC02D542"/>
    <w:styleLink w:val="WWNum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43B4DB5"/>
    <w:multiLevelType w:val="multilevel"/>
    <w:tmpl w:val="9FFCF09E"/>
    <w:styleLink w:val="WWNum2"/>
    <w:lvl w:ilvl="0">
      <w:numFmt w:val="bullet"/>
      <w:lvlText w:val="•"/>
      <w:lvlJc w:val="left"/>
      <w:rPr>
        <w:position w:val="0"/>
        <w:vertAlign w:val="subscript"/>
      </w:rPr>
    </w:lvl>
    <w:lvl w:ilvl="1">
      <w:numFmt w:val="bullet"/>
      <w:lvlText w:val="o"/>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o"/>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o"/>
      <w:lvlJc w:val="left"/>
      <w:rPr>
        <w:position w:val="0"/>
        <w:vertAlign w:val="subscript"/>
      </w:rPr>
    </w:lvl>
    <w:lvl w:ilvl="8">
      <w:numFmt w:val="bullet"/>
      <w:lvlText w:val="▪"/>
      <w:lvlJc w:val="left"/>
      <w:rPr>
        <w:position w:val="0"/>
        <w:vertAlign w:val="subscript"/>
      </w:rPr>
    </w:lvl>
  </w:abstractNum>
  <w:abstractNum w:abstractNumId="3" w15:restartNumberingAfterBreak="0">
    <w:nsid w:val="14FA5CE7"/>
    <w:multiLevelType w:val="multilevel"/>
    <w:tmpl w:val="C6682500"/>
    <w:styleLink w:val="WWNum23"/>
    <w:lvl w:ilvl="0">
      <w:start w:val="2"/>
      <w:numFmt w:val="decimal"/>
      <w:lvlText w:val="%1"/>
      <w:lvlJc w:val="left"/>
      <w:pPr>
        <w:ind w:left="360" w:hanging="360"/>
      </w:pPr>
    </w:lvl>
    <w:lvl w:ilvl="1">
      <w:start w:val="1"/>
      <w:numFmt w:val="decimal"/>
      <w:lvlText w:val="%1.%2"/>
      <w:lvlJc w:val="left"/>
      <w:pPr>
        <w:ind w:left="624" w:hanging="62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4D5219"/>
    <w:multiLevelType w:val="multilevel"/>
    <w:tmpl w:val="AF5A9156"/>
    <w:styleLink w:val="WWNum11"/>
    <w:lvl w:ilvl="0">
      <w:start w:val="1"/>
      <w:numFmt w:val="lowerLetter"/>
      <w:lvlText w:val="%1)"/>
      <w:lvlJc w:val="left"/>
      <w:pPr>
        <w:ind w:left="1069" w:hanging="360"/>
      </w:pPr>
    </w:lvl>
    <w:lvl w:ilvl="1">
      <w:start w:val="1"/>
      <w:numFmt w:val="decimal"/>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15:restartNumberingAfterBreak="0">
    <w:nsid w:val="1F89737D"/>
    <w:multiLevelType w:val="multilevel"/>
    <w:tmpl w:val="A3ACB026"/>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2420526"/>
    <w:multiLevelType w:val="multilevel"/>
    <w:tmpl w:val="72A0FAEA"/>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A400895"/>
    <w:multiLevelType w:val="multilevel"/>
    <w:tmpl w:val="EF6C9AA4"/>
    <w:styleLink w:val="WWNum22"/>
    <w:lvl w:ilvl="0">
      <w:numFmt w:val="bullet"/>
      <w:lvlText w:val="•"/>
      <w:lvlJc w:val="left"/>
      <w:rPr>
        <w:position w:val="0"/>
        <w:vertAlign w:val="subscript"/>
      </w:rPr>
    </w:lvl>
    <w:lvl w:ilvl="1">
      <w:numFmt w:val="bullet"/>
      <w:lvlText w:val="o"/>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o"/>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o"/>
      <w:lvlJc w:val="left"/>
      <w:rPr>
        <w:position w:val="0"/>
        <w:vertAlign w:val="subscript"/>
      </w:rPr>
    </w:lvl>
    <w:lvl w:ilvl="8">
      <w:numFmt w:val="bullet"/>
      <w:lvlText w:val="▪"/>
      <w:lvlJc w:val="left"/>
      <w:rPr>
        <w:position w:val="0"/>
        <w:vertAlign w:val="subscript"/>
      </w:rPr>
    </w:lvl>
  </w:abstractNum>
  <w:abstractNum w:abstractNumId="8" w15:restartNumberingAfterBreak="0">
    <w:nsid w:val="2AE41853"/>
    <w:multiLevelType w:val="multilevel"/>
    <w:tmpl w:val="D6868EAA"/>
    <w:styleLink w:val="WWNum15"/>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D4C6C63"/>
    <w:multiLevelType w:val="multilevel"/>
    <w:tmpl w:val="C88AD89E"/>
    <w:styleLink w:val="WWNum6"/>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0" w15:restartNumberingAfterBreak="0">
    <w:nsid w:val="34833976"/>
    <w:multiLevelType w:val="multilevel"/>
    <w:tmpl w:val="30DA9D50"/>
    <w:styleLink w:val="WWNum20"/>
    <w:lvl w:ilvl="0">
      <w:start w:val="1"/>
      <w:numFmt w:val="none"/>
      <w:lvlText w:val="%1."/>
      <w:lvlJc w:val="left"/>
      <w:pPr>
        <w:ind w:left="360" w:hanging="360"/>
      </w:pPr>
    </w:lvl>
    <w:lvl w:ilvl="1">
      <w:start w:val="1"/>
      <w:numFmt w:val="decimal"/>
      <w:lvlText w:val="%1.%2."/>
      <w:lvlJc w:val="left"/>
      <w:pPr>
        <w:ind w:left="454"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F20D9"/>
    <w:multiLevelType w:val="multilevel"/>
    <w:tmpl w:val="DB2A5702"/>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64D7934"/>
    <w:multiLevelType w:val="multilevel"/>
    <w:tmpl w:val="250A3E4E"/>
    <w:styleLink w:val="WWNum3"/>
    <w:lvl w:ilvl="0">
      <w:numFmt w:val="bullet"/>
      <w:lvlText w:val="•"/>
      <w:lvlJc w:val="left"/>
      <w:rPr>
        <w:position w:val="0"/>
        <w:vertAlign w:val="subscript"/>
      </w:rPr>
    </w:lvl>
    <w:lvl w:ilvl="1">
      <w:numFmt w:val="bullet"/>
      <w:lvlText w:val="o"/>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o"/>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o"/>
      <w:lvlJc w:val="left"/>
      <w:rPr>
        <w:position w:val="0"/>
        <w:vertAlign w:val="subscript"/>
      </w:rPr>
    </w:lvl>
    <w:lvl w:ilvl="8">
      <w:numFmt w:val="bullet"/>
      <w:lvlText w:val="▪"/>
      <w:lvlJc w:val="left"/>
      <w:rPr>
        <w:position w:val="0"/>
        <w:vertAlign w:val="subscript"/>
      </w:rPr>
    </w:lvl>
  </w:abstractNum>
  <w:abstractNum w:abstractNumId="13" w15:restartNumberingAfterBreak="0">
    <w:nsid w:val="3A714D78"/>
    <w:multiLevelType w:val="multilevel"/>
    <w:tmpl w:val="611E189A"/>
    <w:styleLink w:val="WWNum10"/>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4" w15:restartNumberingAfterBreak="0">
    <w:nsid w:val="4A0553CD"/>
    <w:multiLevelType w:val="multilevel"/>
    <w:tmpl w:val="6BA2BBF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1E68A7"/>
    <w:multiLevelType w:val="multilevel"/>
    <w:tmpl w:val="1284A96E"/>
    <w:styleLink w:val="WWNum21"/>
    <w:lvl w:ilvl="0">
      <w:start w:val="1"/>
      <w:numFmt w:val="lowerLetter"/>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6" w15:restartNumberingAfterBreak="0">
    <w:nsid w:val="5A3A2D35"/>
    <w:multiLevelType w:val="multilevel"/>
    <w:tmpl w:val="E6EC6AF8"/>
    <w:styleLink w:val="WWNum17"/>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15:restartNumberingAfterBreak="0">
    <w:nsid w:val="5BFF1163"/>
    <w:multiLevelType w:val="multilevel"/>
    <w:tmpl w:val="69A8EFE8"/>
    <w:styleLink w:val="WWNum5"/>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8" w15:restartNumberingAfterBreak="0">
    <w:nsid w:val="5C6E2BE4"/>
    <w:multiLevelType w:val="multilevel"/>
    <w:tmpl w:val="26C6C1A0"/>
    <w:styleLink w:val="WWNum4"/>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19" w15:restartNumberingAfterBreak="0">
    <w:nsid w:val="603E63AE"/>
    <w:multiLevelType w:val="multilevel"/>
    <w:tmpl w:val="A428303E"/>
    <w:styleLink w:val="WWNum7"/>
    <w:lvl w:ilvl="0">
      <w:start w:val="1"/>
      <w:numFmt w:val="lowerRoman"/>
      <w:lvlText w:val="%1)"/>
      <w:lvlJc w:val="left"/>
      <w:rPr>
        <w:position w:val="0"/>
        <w:vertAlign w:val="subscript"/>
      </w:rPr>
    </w:lvl>
    <w:lvl w:ilvl="1">
      <w:start w:val="1"/>
      <w:numFmt w:val="lowerLetter"/>
      <w:lvlText w:val="%2."/>
      <w:lvlJc w:val="left"/>
      <w:rPr>
        <w:position w:val="0"/>
        <w:vertAlign w:val="subscript"/>
      </w:rPr>
    </w:lvl>
    <w:lvl w:ilvl="2">
      <w:start w:val="1"/>
      <w:numFmt w:val="lowerRoman"/>
      <w:lvlText w:val="%1.%2.%3."/>
      <w:lvlJc w:val="left"/>
      <w:rPr>
        <w:position w:val="0"/>
        <w:vertAlign w:val="subscript"/>
      </w:rPr>
    </w:lvl>
    <w:lvl w:ilvl="3">
      <w:start w:val="1"/>
      <w:numFmt w:val="decimal"/>
      <w:lvlText w:val="%1.%2.%3.%4."/>
      <w:lvlJc w:val="left"/>
      <w:rPr>
        <w:position w:val="0"/>
        <w:vertAlign w:val="subscript"/>
      </w:rPr>
    </w:lvl>
    <w:lvl w:ilvl="4">
      <w:start w:val="1"/>
      <w:numFmt w:val="lowerLetter"/>
      <w:lvlText w:val="%1.%2.%3.%4.%5."/>
      <w:lvlJc w:val="left"/>
      <w:rPr>
        <w:position w:val="0"/>
        <w:vertAlign w:val="subscript"/>
      </w:rPr>
    </w:lvl>
    <w:lvl w:ilvl="5">
      <w:start w:val="1"/>
      <w:numFmt w:val="lowerRoman"/>
      <w:lvlText w:val="%1.%2.%3.%4.%5.%6."/>
      <w:lvlJc w:val="left"/>
      <w:rPr>
        <w:position w:val="0"/>
        <w:vertAlign w:val="subscript"/>
      </w:rPr>
    </w:lvl>
    <w:lvl w:ilvl="6">
      <w:start w:val="1"/>
      <w:numFmt w:val="decimal"/>
      <w:lvlText w:val="%1.%2.%3.%4.%5.%6.%7."/>
      <w:lvlJc w:val="left"/>
      <w:rPr>
        <w:position w:val="0"/>
        <w:vertAlign w:val="subscript"/>
      </w:rPr>
    </w:lvl>
    <w:lvl w:ilvl="7">
      <w:start w:val="1"/>
      <w:numFmt w:val="lowerLetter"/>
      <w:lvlText w:val="%1.%2.%3.%4.%5.%6.%7.%8."/>
      <w:lvlJc w:val="left"/>
      <w:rPr>
        <w:position w:val="0"/>
        <w:vertAlign w:val="subscript"/>
      </w:rPr>
    </w:lvl>
    <w:lvl w:ilvl="8">
      <w:start w:val="1"/>
      <w:numFmt w:val="lowerRoman"/>
      <w:lvlText w:val="%1.%2.%3.%4.%5.%6.%7.%8.%9."/>
      <w:lvlJc w:val="left"/>
      <w:rPr>
        <w:position w:val="0"/>
        <w:vertAlign w:val="subscript"/>
      </w:rPr>
    </w:lvl>
  </w:abstractNum>
  <w:abstractNum w:abstractNumId="20" w15:restartNumberingAfterBreak="0">
    <w:nsid w:val="60847D1B"/>
    <w:multiLevelType w:val="multilevel"/>
    <w:tmpl w:val="B44AF932"/>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0D452D8"/>
    <w:multiLevelType w:val="multilevel"/>
    <w:tmpl w:val="F782E49A"/>
    <w:styleLink w:val="WWNum13"/>
    <w:lvl w:ilvl="0">
      <w:start w:val="1"/>
      <w:numFmt w:val="lowerLetter"/>
      <w:lvlText w:val="%1)"/>
      <w:lvlJc w:val="left"/>
      <w:pPr>
        <w:ind w:left="984" w:hanging="360"/>
      </w:pPr>
    </w:lvl>
    <w:lvl w:ilvl="1">
      <w:start w:val="1"/>
      <w:numFmt w:val="lowerLetter"/>
      <w:lvlText w:val="%2."/>
      <w:lvlJc w:val="left"/>
      <w:pPr>
        <w:ind w:left="1704" w:hanging="360"/>
      </w:pPr>
    </w:lvl>
    <w:lvl w:ilvl="2">
      <w:start w:val="1"/>
      <w:numFmt w:val="lowerRoman"/>
      <w:lvlText w:val="%1.%2.%3."/>
      <w:lvlJc w:val="right"/>
      <w:pPr>
        <w:ind w:left="2424" w:hanging="180"/>
      </w:pPr>
    </w:lvl>
    <w:lvl w:ilvl="3">
      <w:start w:val="1"/>
      <w:numFmt w:val="decimal"/>
      <w:lvlText w:val="%1.%2.%3.%4."/>
      <w:lvlJc w:val="left"/>
      <w:pPr>
        <w:ind w:left="3144" w:hanging="360"/>
      </w:pPr>
    </w:lvl>
    <w:lvl w:ilvl="4">
      <w:start w:val="1"/>
      <w:numFmt w:val="lowerLetter"/>
      <w:lvlText w:val="%1.%2.%3.%4.%5."/>
      <w:lvlJc w:val="left"/>
      <w:pPr>
        <w:ind w:left="3864" w:hanging="360"/>
      </w:pPr>
    </w:lvl>
    <w:lvl w:ilvl="5">
      <w:start w:val="1"/>
      <w:numFmt w:val="lowerRoman"/>
      <w:lvlText w:val="%1.%2.%3.%4.%5.%6."/>
      <w:lvlJc w:val="right"/>
      <w:pPr>
        <w:ind w:left="4584" w:hanging="180"/>
      </w:pPr>
    </w:lvl>
    <w:lvl w:ilvl="6">
      <w:start w:val="1"/>
      <w:numFmt w:val="decimal"/>
      <w:lvlText w:val="%1.%2.%3.%4.%5.%6.%7."/>
      <w:lvlJc w:val="left"/>
      <w:pPr>
        <w:ind w:left="5304" w:hanging="360"/>
      </w:pPr>
    </w:lvl>
    <w:lvl w:ilvl="7">
      <w:start w:val="1"/>
      <w:numFmt w:val="lowerLetter"/>
      <w:lvlText w:val="%1.%2.%3.%4.%5.%6.%7.%8."/>
      <w:lvlJc w:val="left"/>
      <w:pPr>
        <w:ind w:left="6024" w:hanging="360"/>
      </w:pPr>
    </w:lvl>
    <w:lvl w:ilvl="8">
      <w:start w:val="1"/>
      <w:numFmt w:val="lowerRoman"/>
      <w:lvlText w:val="%1.%2.%3.%4.%5.%6.%7.%8.%9."/>
      <w:lvlJc w:val="right"/>
      <w:pPr>
        <w:ind w:left="6744" w:hanging="180"/>
      </w:pPr>
    </w:lvl>
  </w:abstractNum>
  <w:abstractNum w:abstractNumId="22" w15:restartNumberingAfterBreak="0">
    <w:nsid w:val="7CCE499D"/>
    <w:multiLevelType w:val="multilevel"/>
    <w:tmpl w:val="ADFC2156"/>
    <w:styleLink w:val="WWNum1"/>
    <w:lvl w:ilvl="0">
      <w:numFmt w:val="bullet"/>
      <w:lvlText w:val="•"/>
      <w:lvlJc w:val="left"/>
      <w:rPr>
        <w:position w:val="0"/>
        <w:vertAlign w:val="subscript"/>
      </w:rPr>
    </w:lvl>
    <w:lvl w:ilvl="1">
      <w:numFmt w:val="bullet"/>
      <w:lvlText w:val="o"/>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o"/>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o"/>
      <w:lvlJc w:val="left"/>
      <w:rPr>
        <w:position w:val="0"/>
        <w:vertAlign w:val="subscript"/>
      </w:rPr>
    </w:lvl>
    <w:lvl w:ilvl="8">
      <w:numFmt w:val="bullet"/>
      <w:lvlText w:val="▪"/>
      <w:lvlJc w:val="left"/>
      <w:rPr>
        <w:position w:val="0"/>
        <w:vertAlign w:val="subscript"/>
      </w:rPr>
    </w:lvl>
  </w:abstractNum>
  <w:num w:numId="1">
    <w:abstractNumId w:val="22"/>
  </w:num>
  <w:num w:numId="2">
    <w:abstractNumId w:val="2"/>
  </w:num>
  <w:num w:numId="3">
    <w:abstractNumId w:val="12"/>
  </w:num>
  <w:num w:numId="4">
    <w:abstractNumId w:val="18"/>
  </w:num>
  <w:num w:numId="5">
    <w:abstractNumId w:val="17"/>
  </w:num>
  <w:num w:numId="6">
    <w:abstractNumId w:val="9"/>
  </w:num>
  <w:num w:numId="7">
    <w:abstractNumId w:val="19"/>
  </w:num>
  <w:num w:numId="8">
    <w:abstractNumId w:val="1"/>
  </w:num>
  <w:num w:numId="9">
    <w:abstractNumId w:val="20"/>
  </w:num>
  <w:num w:numId="10">
    <w:abstractNumId w:val="13"/>
  </w:num>
  <w:num w:numId="11">
    <w:abstractNumId w:val="4"/>
  </w:num>
  <w:num w:numId="12">
    <w:abstractNumId w:val="0"/>
  </w:num>
  <w:num w:numId="13">
    <w:abstractNumId w:val="21"/>
  </w:num>
  <w:num w:numId="14">
    <w:abstractNumId w:val="11"/>
  </w:num>
  <w:num w:numId="15">
    <w:abstractNumId w:val="8"/>
  </w:num>
  <w:num w:numId="16">
    <w:abstractNumId w:val="14"/>
  </w:num>
  <w:num w:numId="17">
    <w:abstractNumId w:val="16"/>
  </w:num>
  <w:num w:numId="18">
    <w:abstractNumId w:val="5"/>
  </w:num>
  <w:num w:numId="19">
    <w:abstractNumId w:val="6"/>
  </w:num>
  <w:num w:numId="20">
    <w:abstractNumId w:val="10"/>
  </w:num>
  <w:num w:numId="21">
    <w:abstractNumId w:val="15"/>
  </w:num>
  <w:num w:numId="22">
    <w:abstractNumId w:val="7"/>
  </w:num>
  <w:num w:numId="23">
    <w:abstractNumId w:val="3"/>
  </w:num>
  <w:num w:numId="24">
    <w:abstractNumId w:val="14"/>
    <w:lvlOverride w:ilvl="0"/>
  </w:num>
  <w:num w:numId="25">
    <w:abstractNumId w:val="22"/>
    <w:lvlOverride w:ilvl="0"/>
  </w:num>
  <w:num w:numId="26">
    <w:abstractNumId w:val="2"/>
    <w:lvlOverride w:ilvl="0"/>
  </w:num>
  <w:num w:numId="27">
    <w:abstractNumId w:val="12"/>
    <w:lvlOverride w:ilvl="0"/>
  </w:num>
  <w:num w:numId="28">
    <w:abstractNumId w:val="5"/>
    <w:lvlOverride w:ilvl="0">
      <w:startOverride w:val="1"/>
    </w:lvlOverride>
  </w:num>
  <w:num w:numId="2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37CFA"/>
    <w:rsid w:val="00237CFA"/>
    <w:rsid w:val="0068675C"/>
    <w:rsid w:val="00752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D63C"/>
  <w15:docId w15:val="{292A4FB1-24B9-4866-AAD7-FF02A6EB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ca-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9" w:lineRule="auto"/>
    </w:pPr>
    <w:rPr>
      <w:lang w:val="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252"/>
        <w:tab w:val="right" w:pos="8504"/>
      </w:tabs>
      <w:spacing w:after="0" w:line="240" w:lineRule="auto"/>
    </w:pPr>
  </w:style>
  <w:style w:type="paragraph" w:styleId="Piedepgina">
    <w:name w:val="footer"/>
    <w:basedOn w:val="Standard"/>
    <w:pPr>
      <w:suppressLineNumbers/>
      <w:tabs>
        <w:tab w:val="center" w:pos="4252"/>
        <w:tab w:val="right" w:pos="8504"/>
      </w:tabs>
      <w:spacing w:after="0" w:line="240" w:lineRule="auto"/>
    </w:pPr>
  </w:style>
  <w:style w:type="paragraph" w:styleId="Textodeglobo">
    <w:name w:val="Balloon Text"/>
    <w:basedOn w:val="Standard"/>
    <w:pPr>
      <w:spacing w:after="0" w:line="240" w:lineRule="auto"/>
    </w:pPr>
    <w:rPr>
      <w:rFonts w:ascii="Tahoma" w:hAnsi="Tahoma" w:cs="Tahoma"/>
      <w:sz w:val="16"/>
      <w:szCs w:val="16"/>
    </w:rPr>
  </w:style>
  <w:style w:type="paragraph" w:styleId="Prrafodelista">
    <w:name w:val="List Paragraph"/>
    <w:basedOn w:val="Standard"/>
    <w:pPr>
      <w:ind w:left="720"/>
    </w:pPr>
  </w:style>
  <w:style w:type="paragraph" w:styleId="Textocomentario">
    <w:name w:val="annotation text"/>
    <w:basedOn w:val="Standard"/>
    <w:pPr>
      <w:spacing w:line="240" w:lineRule="auto"/>
    </w:pPr>
    <w:rPr>
      <w:sz w:val="20"/>
      <w:szCs w:val="20"/>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PrrafodelistaCar">
    <w:name w:val="Párrafo de lista Car"/>
    <w:basedOn w:val="Fuentedeprrafopredeter"/>
    <w:rPr>
      <w:lang w:val="es-E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lang w:val="es-ES"/>
    </w:rPr>
  </w:style>
  <w:style w:type="character" w:customStyle="1" w:styleId="ListLabel1">
    <w:name w:val="ListLabel 1"/>
    <w:rPr>
      <w:position w:val="0"/>
      <w:vertAlign w:val="subscript"/>
    </w:rPr>
  </w:style>
  <w:style w:type="character" w:customStyle="1" w:styleId="ListLabel2">
    <w:name w:val="ListLabel 2"/>
    <w:rPr>
      <w:rFonts w:cs="Courier New"/>
    </w:rPr>
  </w:style>
  <w:style w:type="character" w:customStyle="1" w:styleId="ListLabel3">
    <w:name w:val="ListLabel 3"/>
    <w:rPr>
      <w:sz w:val="20"/>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8157</Characters>
  <Application>Microsoft Office Word</Application>
  <DocSecurity>0</DocSecurity>
  <Lines>67</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gemetta gemetta</cp:lastModifiedBy>
  <cp:revision>2</cp:revision>
  <cp:lastPrinted>2016-08-29T12:24:00Z</cp:lastPrinted>
  <dcterms:created xsi:type="dcterms:W3CDTF">2021-06-22T10:10:00Z</dcterms:created>
  <dcterms:modified xsi:type="dcterms:W3CDTF">2021-06-22T10:10:00Z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