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D42E" w14:textId="77777777" w:rsidR="004E7B20" w:rsidRDefault="004E7B20">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cs="Times New Roman"/>
          <w:b/>
          <w:bCs/>
          <w:lang w:eastAsia="ca-ES"/>
        </w:rPr>
      </w:pPr>
    </w:p>
    <w:p w14:paraId="2283BF2E" w14:textId="77777777" w:rsidR="004E7B20" w:rsidRDefault="00CC7D45">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pPr>
      <w:r>
        <w:rPr>
          <w:rFonts w:ascii="Times New Roman" w:hAnsi="Times New Roman" w:cs="Times New Roman"/>
          <w:b/>
          <w:bCs/>
          <w:lang w:eastAsia="ca-ES"/>
        </w:rPr>
        <w:t xml:space="preserve">CONVENIO DE COLABORACIÓN ENTRE </w:t>
      </w:r>
      <w:r>
        <w:rPr>
          <w:rFonts w:ascii="Times New Roman" w:hAnsi="Times New Roman" w:cs="Times New Roman"/>
        </w:rPr>
        <w:t>[</w:t>
      </w:r>
      <w:r>
        <w:rPr>
          <w:rFonts w:ascii="Times New Roman" w:hAnsi="Times New Roman" w:cs="Times New Roman"/>
          <w:i/>
          <w:shd w:val="clear" w:color="auto" w:fill="C0C0C0"/>
        </w:rPr>
        <w:t>insertar Ayuntamiento</w:t>
      </w:r>
      <w:r>
        <w:rPr>
          <w:rFonts w:ascii="Times New Roman" w:hAnsi="Times New Roman" w:cs="Times New Roman"/>
        </w:rPr>
        <w:t xml:space="preserve">] </w:t>
      </w:r>
      <w:r>
        <w:rPr>
          <w:rFonts w:ascii="Times New Roman" w:hAnsi="Times New Roman" w:cs="Times New Roman"/>
          <w:b/>
          <w:bCs/>
          <w:lang w:eastAsia="ca-ES"/>
        </w:rPr>
        <w:t>Y LA SOCIEDAD DE GESTIÓN DE ACTIVOS PROCEDENTES DE LA REESTRUCCTURACIÓN BANCARIA, S.A., PARA LA CESIÓN DE VIVIENDA DESTINADA AL ALQUILER ASEQUIBLE</w:t>
      </w:r>
    </w:p>
    <w:p w14:paraId="334A12B7" w14:textId="77777777" w:rsidR="004E7B20" w:rsidRDefault="004E7B20">
      <w:pPr>
        <w:pStyle w:val="Standard"/>
        <w:widowControl w:val="0"/>
        <w:tabs>
          <w:tab w:val="left" w:pos="8232"/>
        </w:tabs>
        <w:ind w:left="-24"/>
        <w:jc w:val="both"/>
        <w:rPr>
          <w:rFonts w:ascii="Times New Roman" w:hAnsi="Times New Roman" w:cs="Times New Roman"/>
          <w:color w:val="000000"/>
          <w:lang w:eastAsia="ca-ES"/>
        </w:rPr>
      </w:pPr>
    </w:p>
    <w:p w14:paraId="3BBCC980" w14:textId="77777777" w:rsidR="004E7B20" w:rsidRDefault="00CC7D45">
      <w:pPr>
        <w:pStyle w:val="Standard"/>
        <w:jc w:val="right"/>
      </w:pPr>
      <w:r>
        <w:rPr>
          <w:rFonts w:ascii="Times New Roman" w:hAnsi="Times New Roman" w:cs="Times New Roman"/>
        </w:rPr>
        <w:t>En [</w:t>
      </w:r>
      <w:r>
        <w:rPr>
          <w:rFonts w:ascii="Times New Roman" w:hAnsi="Times New Roman" w:cs="Times New Roman"/>
          <w:i/>
          <w:shd w:val="clear" w:color="auto" w:fill="C0C0C0"/>
        </w:rPr>
        <w:t>insertar</w:t>
      </w:r>
      <w:r>
        <w:rPr>
          <w:rFonts w:ascii="Times New Roman" w:hAnsi="Times New Roman" w:cs="Times New Roman"/>
        </w:rPr>
        <w:t>], a [</w:t>
      </w:r>
      <w:r>
        <w:rPr>
          <w:rFonts w:ascii="Times New Roman" w:hAnsi="Times New Roman" w:cs="Times New Roman"/>
          <w:i/>
          <w:shd w:val="clear" w:color="auto" w:fill="C0C0C0"/>
        </w:rPr>
        <w:t>insertar fecha</w:t>
      </w:r>
      <w:r>
        <w:rPr>
          <w:rFonts w:ascii="Times New Roman" w:hAnsi="Times New Roman" w:cs="Times New Roman"/>
        </w:rPr>
        <w:t>]</w:t>
      </w:r>
    </w:p>
    <w:p w14:paraId="548B173B" w14:textId="77777777" w:rsidR="004E7B20" w:rsidRDefault="004E7B20">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cs="Times New Roman"/>
          <w:b/>
          <w:bCs/>
          <w:color w:val="000000"/>
          <w:lang w:eastAsia="ca-ES"/>
        </w:rPr>
      </w:pPr>
    </w:p>
    <w:p w14:paraId="77070334" w14:textId="77777777" w:rsidR="004E7B20" w:rsidRDefault="004E7B20">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cs="Times New Roman"/>
          <w:b/>
          <w:bCs/>
          <w:color w:val="000000"/>
          <w:lang w:eastAsia="ca-ES"/>
        </w:rPr>
      </w:pPr>
    </w:p>
    <w:p w14:paraId="6312DAC0" w14:textId="77777777" w:rsidR="004E7B20" w:rsidRDefault="00CC7D45">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outlineLvl w:val="0"/>
        <w:rPr>
          <w:rFonts w:ascii="Times New Roman" w:hAnsi="Times New Roman" w:cs="Times New Roman"/>
          <w:b/>
          <w:bCs/>
          <w:color w:val="000000"/>
          <w:lang w:eastAsia="ca-ES"/>
        </w:rPr>
      </w:pPr>
      <w:r>
        <w:rPr>
          <w:rFonts w:ascii="Times New Roman" w:hAnsi="Times New Roman" w:cs="Times New Roman"/>
          <w:b/>
          <w:bCs/>
          <w:color w:val="000000"/>
          <w:lang w:eastAsia="ca-ES"/>
        </w:rPr>
        <w:t>REUNIDOS</w:t>
      </w:r>
    </w:p>
    <w:p w14:paraId="655ED123" w14:textId="77777777" w:rsidR="004E7B20" w:rsidRDefault="004E7B20">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cs="Times New Roman"/>
          <w:color w:val="000000"/>
          <w:lang w:eastAsia="ca-ES"/>
        </w:rPr>
      </w:pPr>
    </w:p>
    <w:p w14:paraId="018A204F" w14:textId="77777777" w:rsidR="004E7B20" w:rsidRDefault="004E7B20">
      <w:pPr>
        <w:pStyle w:val="Standard"/>
        <w:jc w:val="both"/>
        <w:rPr>
          <w:rFonts w:ascii="Times New Roman" w:hAnsi="Times New Roman" w:cs="Times New Roman"/>
          <w:lang w:eastAsia="ca-ES"/>
        </w:rPr>
      </w:pPr>
    </w:p>
    <w:p w14:paraId="2B061C17" w14:textId="77777777" w:rsidR="004E7B20" w:rsidRDefault="00CC7D45">
      <w:pPr>
        <w:pStyle w:val="Standard"/>
        <w:spacing w:line="276" w:lineRule="auto"/>
        <w:jc w:val="both"/>
      </w:pPr>
      <w:r>
        <w:rPr>
          <w:rFonts w:ascii="Times New Roman" w:eastAsia="Calibri" w:hAnsi="Times New Roman" w:cs="Times New Roman"/>
          <w:szCs w:val="22"/>
          <w:lang w:eastAsia="es-ES"/>
        </w:rPr>
        <w:t xml:space="preserve">De una parte,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representada por D. </w:t>
      </w:r>
      <w:r>
        <w:rPr>
          <w:rFonts w:ascii="Times New Roman" w:eastAsia="Calibri" w:hAnsi="Times New Roman" w:cs="Times New Roman"/>
          <w:szCs w:val="22"/>
          <w:shd w:val="clear" w:color="auto" w:fill="C0C0C0"/>
          <w:lang w:eastAsia="es-ES"/>
        </w:rPr>
        <w:t>[insertar]</w:t>
      </w:r>
      <w:r>
        <w:rPr>
          <w:rFonts w:ascii="Times New Roman" w:eastAsia="Calibri" w:hAnsi="Times New Roman" w:cs="Times New Roman"/>
          <w:szCs w:val="22"/>
          <w:lang w:eastAsia="es-ES"/>
        </w:rPr>
        <w:t xml:space="preserve">, en su condición de </w:t>
      </w:r>
      <w:r>
        <w:rPr>
          <w:rFonts w:ascii="Times New Roman" w:eastAsia="Calibri" w:hAnsi="Times New Roman" w:cs="Times New Roman"/>
          <w:szCs w:val="22"/>
          <w:shd w:val="clear" w:color="auto" w:fill="C0C0C0"/>
          <w:lang w:eastAsia="es-ES"/>
        </w:rPr>
        <w:t>[insertar]</w:t>
      </w:r>
      <w:r>
        <w:rPr>
          <w:rFonts w:ascii="Times New Roman" w:eastAsia="Calibri" w:hAnsi="Times New Roman" w:cs="Times New Roman"/>
          <w:szCs w:val="22"/>
          <w:lang w:eastAsia="es-ES"/>
        </w:rPr>
        <w:t xml:space="preserve"> que ostenta en virtud del nombramiento efectuado por Decreto </w:t>
      </w:r>
      <w:r>
        <w:rPr>
          <w:rFonts w:ascii="Times New Roman" w:eastAsia="Calibri" w:hAnsi="Times New Roman" w:cs="Times New Roman"/>
          <w:szCs w:val="22"/>
          <w:shd w:val="clear" w:color="auto" w:fill="C0C0C0"/>
          <w:lang w:eastAsia="es-ES"/>
        </w:rPr>
        <w:t>[insertar];</w:t>
      </w:r>
    </w:p>
    <w:p w14:paraId="24706A56" w14:textId="77777777" w:rsidR="004E7B20" w:rsidRDefault="00CC7D45">
      <w:pPr>
        <w:pStyle w:val="Standard"/>
        <w:spacing w:line="276" w:lineRule="auto"/>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 xml:space="preserve"> </w:t>
      </w:r>
    </w:p>
    <w:p w14:paraId="07AC2B44" w14:textId="77777777" w:rsidR="004E7B20" w:rsidRDefault="00CC7D45">
      <w:pPr>
        <w:pStyle w:val="Standard"/>
        <w:spacing w:line="276" w:lineRule="auto"/>
        <w:jc w:val="both"/>
      </w:pPr>
      <w:r>
        <w:rPr>
          <w:rFonts w:ascii="Times New Roman" w:eastAsia="Calibri" w:hAnsi="Times New Roman" w:cs="Times New Roman"/>
          <w:szCs w:val="22"/>
          <w:lang w:eastAsia="es-ES"/>
        </w:rPr>
        <w:t>De otra parte, la Sociedad de Gestión de Activos Procedentes de la Restructuración Bancaria (en adelante “SAREB”), con CIF A-86.602.158, y domicilio en Madrid, Paseo de la Castella</w:t>
      </w:r>
      <w:r>
        <w:rPr>
          <w:rFonts w:ascii="Times New Roman" w:eastAsia="Calibri" w:hAnsi="Times New Roman" w:cs="Times New Roman"/>
          <w:szCs w:val="22"/>
          <w:lang w:eastAsia="es-ES"/>
        </w:rPr>
        <w:t xml:space="preserve">na, 89, representada por su </w:t>
      </w:r>
      <w:r>
        <w:rPr>
          <w:rFonts w:ascii="Times New Roman" w:eastAsia="Calibri" w:hAnsi="Times New Roman" w:cs="Times New Roman"/>
          <w:szCs w:val="22"/>
          <w:shd w:val="clear" w:color="auto" w:fill="C0C0C0"/>
          <w:lang w:eastAsia="es-ES"/>
        </w:rPr>
        <w:t>[insertar],</w:t>
      </w:r>
      <w:r>
        <w:rPr>
          <w:rFonts w:ascii="Times New Roman" w:eastAsia="Calibri" w:hAnsi="Times New Roman" w:cs="Times New Roman"/>
          <w:szCs w:val="22"/>
          <w:lang w:eastAsia="es-ES"/>
        </w:rPr>
        <w:t xml:space="preserve"> condición que ostenta en virtud </w:t>
      </w:r>
      <w:r>
        <w:rPr>
          <w:rFonts w:ascii="Times New Roman" w:eastAsia="Calibri" w:hAnsi="Times New Roman" w:cs="Times New Roman"/>
          <w:szCs w:val="22"/>
          <w:shd w:val="clear" w:color="auto" w:fill="C0C0C0"/>
          <w:lang w:eastAsia="es-ES"/>
        </w:rPr>
        <w:t>[insertar referencia a acuerdo del Consejo y poderes].</w:t>
      </w:r>
    </w:p>
    <w:p w14:paraId="73048C81" w14:textId="77777777" w:rsidR="004E7B20" w:rsidRDefault="004E7B20">
      <w:pPr>
        <w:pStyle w:val="Standard"/>
        <w:spacing w:line="276" w:lineRule="auto"/>
        <w:jc w:val="both"/>
        <w:rPr>
          <w:rFonts w:ascii="Times New Roman" w:eastAsia="Calibri" w:hAnsi="Times New Roman" w:cs="Times New Roman"/>
          <w:szCs w:val="22"/>
          <w:lang w:eastAsia="es-ES"/>
        </w:rPr>
      </w:pPr>
    </w:p>
    <w:p w14:paraId="108F2D49" w14:textId="77777777" w:rsidR="004E7B20" w:rsidRDefault="00CC7D45">
      <w:pPr>
        <w:pStyle w:val="Standard"/>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Las partes manifiestan la plena vigencia de las facultades con las que actúan y se reconocen capacidad legal suficiente para oto</w:t>
      </w:r>
      <w:r>
        <w:rPr>
          <w:rFonts w:ascii="Times New Roman" w:eastAsia="Calibri" w:hAnsi="Times New Roman" w:cs="Times New Roman"/>
          <w:szCs w:val="22"/>
          <w:lang w:eastAsia="es-ES"/>
        </w:rPr>
        <w:t>rgar el presente Acuerdo y</w:t>
      </w:r>
    </w:p>
    <w:p w14:paraId="5FC9017D" w14:textId="77777777" w:rsidR="004E7B20" w:rsidRDefault="004E7B20">
      <w:pPr>
        <w:pStyle w:val="Standard"/>
        <w:widowControl w:val="0"/>
        <w:jc w:val="both"/>
        <w:rPr>
          <w:rFonts w:ascii="Times New Roman" w:hAnsi="Times New Roman" w:cs="Times New Roman"/>
          <w:color w:val="000000"/>
          <w:lang w:eastAsia="ca-ES"/>
        </w:rPr>
      </w:pPr>
    </w:p>
    <w:p w14:paraId="3D4B0C8D" w14:textId="77777777" w:rsidR="004E7B20" w:rsidRDefault="00CC7D45">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outlineLvl w:val="0"/>
        <w:rPr>
          <w:rFonts w:ascii="Times New Roman" w:hAnsi="Times New Roman" w:cs="Times New Roman"/>
          <w:b/>
          <w:color w:val="000000"/>
          <w:lang w:eastAsia="ca-ES"/>
        </w:rPr>
      </w:pPr>
      <w:r>
        <w:rPr>
          <w:rFonts w:ascii="Times New Roman" w:hAnsi="Times New Roman" w:cs="Times New Roman"/>
          <w:b/>
          <w:color w:val="000000"/>
          <w:lang w:eastAsia="ca-ES"/>
        </w:rPr>
        <w:t>MANIFIESTAN</w:t>
      </w:r>
    </w:p>
    <w:p w14:paraId="032D4588" w14:textId="77777777" w:rsidR="004E7B20" w:rsidRDefault="004E7B20">
      <w:pPr>
        <w:pStyle w:val="Standard"/>
        <w:spacing w:line="276" w:lineRule="auto"/>
        <w:jc w:val="both"/>
        <w:rPr>
          <w:rFonts w:ascii="Times New Roman" w:eastAsia="Calibri" w:hAnsi="Times New Roman" w:cs="Times New Roman"/>
          <w:szCs w:val="22"/>
          <w:lang w:eastAsia="es-ES"/>
        </w:rPr>
      </w:pPr>
    </w:p>
    <w:p w14:paraId="7AD130BE" w14:textId="77777777" w:rsidR="004E7B20" w:rsidRDefault="00CC7D45">
      <w:pPr>
        <w:pStyle w:val="Standard"/>
        <w:numPr>
          <w:ilvl w:val="0"/>
          <w:numId w:val="37"/>
        </w:numPr>
        <w:jc w:val="both"/>
      </w:pPr>
      <w:r>
        <w:rPr>
          <w:rFonts w:ascii="Times New Roman" w:hAnsi="Times New Roman" w:cs="Times New Roman"/>
        </w:rPr>
        <w:t>[</w:t>
      </w:r>
      <w:r>
        <w:rPr>
          <w:rFonts w:ascii="Times New Roman" w:hAnsi="Times New Roman" w:cs="Times New Roman"/>
          <w:shd w:val="clear" w:color="auto" w:fill="C0C0C0"/>
        </w:rPr>
        <w:t>insertar marco normativo en materia de vivienda del Ayuntamiento</w:t>
      </w:r>
      <w:r>
        <w:rPr>
          <w:rFonts w:ascii="Times New Roman" w:hAnsi="Times New Roman" w:cs="Times New Roman"/>
        </w:rPr>
        <w:t>]</w:t>
      </w:r>
    </w:p>
    <w:p w14:paraId="4647EE06" w14:textId="77777777" w:rsidR="004E7B20" w:rsidRDefault="004E7B20">
      <w:pPr>
        <w:pStyle w:val="Standard"/>
        <w:ind w:left="720"/>
        <w:jc w:val="both"/>
        <w:rPr>
          <w:rFonts w:ascii="Times New Roman" w:eastAsia="Calibri" w:hAnsi="Times New Roman" w:cs="Times New Roman"/>
          <w:szCs w:val="22"/>
          <w:lang w:eastAsia="es-ES"/>
        </w:rPr>
      </w:pPr>
    </w:p>
    <w:p w14:paraId="50833678" w14:textId="77777777" w:rsidR="004E7B20" w:rsidRDefault="00CC7D45">
      <w:pPr>
        <w:pStyle w:val="Standard"/>
        <w:numPr>
          <w:ilvl w:val="0"/>
          <w:numId w:val="34"/>
        </w:numPr>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SAREB es una sociedad anónima de naturaleza jurídico-privada creada al amparo de las previsiones contenidas en la Ley 9/2012, de 14 de noviembre, d</w:t>
      </w:r>
      <w:r>
        <w:rPr>
          <w:rFonts w:ascii="Times New Roman" w:eastAsia="Calibri" w:hAnsi="Times New Roman" w:cs="Times New Roman"/>
          <w:szCs w:val="22"/>
          <w:lang w:eastAsia="es-ES"/>
        </w:rPr>
        <w:t>e Reestructuración y Resolución de Entidades de crédito como elemento clave del proceso de saneamiento del sistema financiero español y en cumplimiento de los compromisos asumidos por el Reino de España en el Memorando sobre Política Sectorial Financiera d</w:t>
      </w:r>
      <w:r>
        <w:rPr>
          <w:rFonts w:ascii="Times New Roman" w:eastAsia="Calibri" w:hAnsi="Times New Roman" w:cs="Times New Roman"/>
          <w:szCs w:val="22"/>
          <w:lang w:eastAsia="es-ES"/>
        </w:rPr>
        <w:t xml:space="preserve">e 23 de julio de 2012.  </w:t>
      </w:r>
    </w:p>
    <w:p w14:paraId="54CD6EB6" w14:textId="77777777" w:rsidR="004E7B20" w:rsidRDefault="00CC7D45">
      <w:pPr>
        <w:pStyle w:val="Standard"/>
        <w:ind w:left="72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La sociedad tiene por objeto exclusivo la tenencia, gestión y administración directa o indirecta, adquisición y enajenación de los activos transferidos por las entidades de crédito sometidas a procesos de reestructuración o resoluc</w:t>
      </w:r>
      <w:r>
        <w:rPr>
          <w:rFonts w:ascii="Times New Roman" w:eastAsia="Calibri" w:hAnsi="Times New Roman" w:cs="Times New Roman"/>
          <w:szCs w:val="22"/>
          <w:lang w:eastAsia="es-ES"/>
        </w:rPr>
        <w:t>ión, así como de aquellos que pudiera adquirir en el futuro, maximizando su valor y logrando su desinversión en un plazo razonable.</w:t>
      </w:r>
    </w:p>
    <w:p w14:paraId="681D2324" w14:textId="77777777" w:rsidR="004E7B20" w:rsidRDefault="004E7B20">
      <w:pPr>
        <w:pStyle w:val="Standard"/>
        <w:jc w:val="both"/>
        <w:rPr>
          <w:rFonts w:ascii="Times New Roman" w:eastAsia="Calibri" w:hAnsi="Times New Roman" w:cs="Times New Roman"/>
          <w:szCs w:val="22"/>
          <w:lang w:eastAsia="es-ES"/>
        </w:rPr>
      </w:pPr>
    </w:p>
    <w:p w14:paraId="40DA12EA" w14:textId="77777777" w:rsidR="004E7B20" w:rsidRDefault="00CC7D45">
      <w:pPr>
        <w:pStyle w:val="Standard"/>
        <w:numPr>
          <w:ilvl w:val="0"/>
          <w:numId w:val="34"/>
        </w:numPr>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De conformidad con lo previsto en el Real Decreto 1559/2012, de 15 de noviembre, por el que se establece el régimen jurídic</w:t>
      </w:r>
      <w:r>
        <w:rPr>
          <w:rFonts w:ascii="Times New Roman" w:eastAsia="Calibri" w:hAnsi="Times New Roman" w:cs="Times New Roman"/>
          <w:szCs w:val="22"/>
          <w:lang w:eastAsia="es-ES"/>
        </w:rPr>
        <w:t>o de las sociedades de gestión de activos, SAREB se constituye como una sociedad anónima que presenta determinadas particularidades derivadas de su objeto social singular y el interés público derivado de su actividad. En concreto el Real Decreto señala com</w:t>
      </w:r>
      <w:r>
        <w:rPr>
          <w:rFonts w:ascii="Times New Roman" w:eastAsia="Calibri" w:hAnsi="Times New Roman" w:cs="Times New Roman"/>
          <w:szCs w:val="22"/>
          <w:lang w:eastAsia="es-ES"/>
        </w:rPr>
        <w:t>o sus objetivos:</w:t>
      </w:r>
    </w:p>
    <w:p w14:paraId="091477FF" w14:textId="77777777" w:rsidR="004E7B20" w:rsidRDefault="004E7B20">
      <w:pPr>
        <w:pStyle w:val="Prrafodelista"/>
        <w:spacing w:line="240" w:lineRule="auto"/>
        <w:rPr>
          <w:rFonts w:ascii="Times New Roman" w:eastAsia="Calibri" w:hAnsi="Times New Roman"/>
          <w:szCs w:val="22"/>
          <w:lang w:val="es-ES" w:eastAsia="es-ES"/>
        </w:rPr>
      </w:pPr>
    </w:p>
    <w:p w14:paraId="714C3512" w14:textId="77777777" w:rsidR="004E7B20" w:rsidRDefault="00CC7D45">
      <w:pPr>
        <w:pStyle w:val="Prrafodelista"/>
        <w:widowControl/>
        <w:numPr>
          <w:ilvl w:val="0"/>
          <w:numId w:val="38"/>
        </w:numPr>
        <w:suppressAutoHyphens w:val="0"/>
        <w:spacing w:line="240" w:lineRule="auto"/>
        <w:rPr>
          <w:rFonts w:ascii="Times New Roman" w:eastAsia="Calibri" w:hAnsi="Times New Roman"/>
          <w:szCs w:val="22"/>
          <w:lang w:val="es-ES" w:eastAsia="es-ES"/>
        </w:rPr>
      </w:pPr>
      <w:r>
        <w:rPr>
          <w:rFonts w:ascii="Times New Roman" w:eastAsia="Calibri" w:hAnsi="Times New Roman"/>
          <w:szCs w:val="22"/>
          <w:lang w:val="es-ES" w:eastAsia="es-ES"/>
        </w:rPr>
        <w:t>Contribuir al saneamiento del sistema financiero adquiriendo los activos correspondientes de forma que, desde su transmisión, se produzca una traslación efectiva de los riesgos vinculados a estos activos.</w:t>
      </w:r>
    </w:p>
    <w:p w14:paraId="139CDFAA" w14:textId="77777777" w:rsidR="004E7B20" w:rsidRDefault="004E7B20">
      <w:pPr>
        <w:pStyle w:val="Prrafodelista"/>
        <w:widowControl/>
        <w:suppressAutoHyphens w:val="0"/>
        <w:spacing w:line="240" w:lineRule="auto"/>
        <w:ind w:left="1440"/>
        <w:rPr>
          <w:rFonts w:ascii="Times New Roman" w:eastAsia="Calibri" w:hAnsi="Times New Roman"/>
          <w:szCs w:val="22"/>
          <w:lang w:val="es-ES" w:eastAsia="es-ES"/>
        </w:rPr>
      </w:pPr>
    </w:p>
    <w:p w14:paraId="043D346F" w14:textId="77777777" w:rsidR="004E7B20" w:rsidRDefault="00CC7D45">
      <w:pPr>
        <w:pStyle w:val="Prrafodelista"/>
        <w:widowControl/>
        <w:numPr>
          <w:ilvl w:val="0"/>
          <w:numId w:val="35"/>
        </w:numPr>
        <w:suppressAutoHyphens w:val="0"/>
        <w:spacing w:line="240" w:lineRule="auto"/>
        <w:rPr>
          <w:rFonts w:ascii="Times New Roman" w:eastAsia="Calibri" w:hAnsi="Times New Roman"/>
          <w:szCs w:val="22"/>
          <w:lang w:val="es-ES" w:eastAsia="es-ES"/>
        </w:rPr>
      </w:pPr>
      <w:r>
        <w:rPr>
          <w:rFonts w:ascii="Times New Roman" w:eastAsia="Calibri" w:hAnsi="Times New Roman"/>
          <w:szCs w:val="22"/>
          <w:lang w:val="es-ES" w:eastAsia="es-ES"/>
        </w:rPr>
        <w:t xml:space="preserve">Minimizar los apoyos </w:t>
      </w:r>
      <w:r>
        <w:rPr>
          <w:rFonts w:ascii="Times New Roman" w:eastAsia="Calibri" w:hAnsi="Times New Roman"/>
          <w:szCs w:val="22"/>
          <w:lang w:val="es-ES" w:eastAsia="es-ES"/>
        </w:rPr>
        <w:t>financieros públicos.</w:t>
      </w:r>
    </w:p>
    <w:p w14:paraId="3B11383A" w14:textId="77777777" w:rsidR="004E7B20" w:rsidRDefault="004E7B20">
      <w:pPr>
        <w:pStyle w:val="Prrafodelista"/>
        <w:widowControl/>
        <w:suppressAutoHyphens w:val="0"/>
        <w:spacing w:line="240" w:lineRule="auto"/>
        <w:ind w:left="1440"/>
        <w:rPr>
          <w:rFonts w:ascii="Times New Roman" w:eastAsia="Calibri" w:hAnsi="Times New Roman"/>
          <w:szCs w:val="22"/>
          <w:lang w:val="es-ES" w:eastAsia="es-ES"/>
        </w:rPr>
      </w:pPr>
    </w:p>
    <w:p w14:paraId="1EA6E1DD" w14:textId="77777777" w:rsidR="004E7B20" w:rsidRDefault="00CC7D45">
      <w:pPr>
        <w:pStyle w:val="Prrafodelista"/>
        <w:widowControl/>
        <w:numPr>
          <w:ilvl w:val="0"/>
          <w:numId w:val="35"/>
        </w:numPr>
        <w:suppressAutoHyphens w:val="0"/>
        <w:spacing w:line="240" w:lineRule="auto"/>
        <w:rPr>
          <w:rFonts w:ascii="Times New Roman" w:eastAsia="Calibri" w:hAnsi="Times New Roman"/>
          <w:szCs w:val="22"/>
          <w:lang w:val="es-ES" w:eastAsia="es-ES"/>
        </w:rPr>
      </w:pPr>
      <w:r>
        <w:rPr>
          <w:rFonts w:ascii="Times New Roman" w:eastAsia="Calibri" w:hAnsi="Times New Roman"/>
          <w:szCs w:val="22"/>
          <w:lang w:val="es-ES" w:eastAsia="es-ES"/>
        </w:rPr>
        <w:lastRenderedPageBreak/>
        <w:t>Satisfacer las deudas y obligaciones que se contraigan en el curso de sus operaciones.</w:t>
      </w:r>
    </w:p>
    <w:p w14:paraId="03339822" w14:textId="77777777" w:rsidR="004E7B20" w:rsidRDefault="004E7B20">
      <w:pPr>
        <w:pStyle w:val="Prrafodelista"/>
        <w:widowControl/>
        <w:suppressAutoHyphens w:val="0"/>
        <w:spacing w:line="240" w:lineRule="auto"/>
        <w:ind w:left="1440"/>
        <w:rPr>
          <w:rFonts w:ascii="Times New Roman" w:eastAsia="Calibri" w:hAnsi="Times New Roman"/>
          <w:szCs w:val="22"/>
          <w:lang w:val="es-ES" w:eastAsia="es-ES"/>
        </w:rPr>
      </w:pPr>
    </w:p>
    <w:p w14:paraId="6D5FF058" w14:textId="77777777" w:rsidR="004E7B20" w:rsidRDefault="00CC7D45">
      <w:pPr>
        <w:pStyle w:val="Prrafodelista"/>
        <w:widowControl/>
        <w:numPr>
          <w:ilvl w:val="0"/>
          <w:numId w:val="35"/>
        </w:numPr>
        <w:suppressAutoHyphens w:val="0"/>
        <w:spacing w:line="240" w:lineRule="auto"/>
        <w:rPr>
          <w:rFonts w:ascii="Times New Roman" w:eastAsia="Calibri" w:hAnsi="Times New Roman"/>
          <w:szCs w:val="22"/>
          <w:lang w:val="es-ES" w:eastAsia="es-ES"/>
        </w:rPr>
      </w:pPr>
      <w:r>
        <w:rPr>
          <w:rFonts w:ascii="Times New Roman" w:eastAsia="Calibri" w:hAnsi="Times New Roman"/>
          <w:szCs w:val="22"/>
          <w:lang w:val="es-ES" w:eastAsia="es-ES"/>
        </w:rPr>
        <w:t>Minimizar las posibles distorsiones en los mercados que se puedan derivar de su actuación.</w:t>
      </w:r>
    </w:p>
    <w:p w14:paraId="14944F51" w14:textId="77777777" w:rsidR="004E7B20" w:rsidRDefault="004E7B20">
      <w:pPr>
        <w:pStyle w:val="Prrafodelista"/>
        <w:widowControl/>
        <w:suppressAutoHyphens w:val="0"/>
        <w:spacing w:line="240" w:lineRule="auto"/>
        <w:ind w:left="1440"/>
        <w:rPr>
          <w:rFonts w:ascii="Times New Roman" w:eastAsia="Calibri" w:hAnsi="Times New Roman"/>
          <w:szCs w:val="22"/>
          <w:lang w:val="es-ES" w:eastAsia="es-ES"/>
        </w:rPr>
      </w:pPr>
    </w:p>
    <w:p w14:paraId="18B39DD6" w14:textId="77777777" w:rsidR="004E7B20" w:rsidRDefault="00CC7D45">
      <w:pPr>
        <w:pStyle w:val="Prrafodelista"/>
        <w:widowControl/>
        <w:numPr>
          <w:ilvl w:val="0"/>
          <w:numId w:val="35"/>
        </w:numPr>
        <w:suppressAutoHyphens w:val="0"/>
        <w:spacing w:line="240" w:lineRule="auto"/>
        <w:rPr>
          <w:rFonts w:ascii="Times New Roman" w:eastAsia="Calibri" w:hAnsi="Times New Roman"/>
          <w:szCs w:val="22"/>
          <w:lang w:val="es-ES" w:eastAsia="es-ES"/>
        </w:rPr>
      </w:pPr>
      <w:r>
        <w:rPr>
          <w:rFonts w:ascii="Times New Roman" w:eastAsia="Calibri" w:hAnsi="Times New Roman"/>
          <w:szCs w:val="22"/>
          <w:lang w:val="es-ES" w:eastAsia="es-ES"/>
        </w:rPr>
        <w:t xml:space="preserve">Enajenar los activos recibidos optimizando su valor, </w:t>
      </w:r>
      <w:r>
        <w:rPr>
          <w:rFonts w:ascii="Times New Roman" w:eastAsia="Calibri" w:hAnsi="Times New Roman"/>
          <w:szCs w:val="22"/>
          <w:lang w:val="es-ES" w:eastAsia="es-ES"/>
        </w:rPr>
        <w:t>dentro del plazo de tiempo para el que hayan sido constituidos.</w:t>
      </w:r>
    </w:p>
    <w:p w14:paraId="3DBAD231" w14:textId="77777777" w:rsidR="004E7B20" w:rsidRDefault="004E7B20">
      <w:pPr>
        <w:pStyle w:val="Standard"/>
        <w:jc w:val="both"/>
        <w:rPr>
          <w:rFonts w:ascii="Times New Roman" w:eastAsia="Calibri" w:hAnsi="Times New Roman" w:cs="Times New Roman"/>
          <w:szCs w:val="22"/>
          <w:lang w:eastAsia="es-ES"/>
        </w:rPr>
      </w:pPr>
    </w:p>
    <w:p w14:paraId="431E6529" w14:textId="77777777" w:rsidR="004E7B20" w:rsidRDefault="00CC7D45">
      <w:pPr>
        <w:pStyle w:val="Standard"/>
        <w:numPr>
          <w:ilvl w:val="0"/>
          <w:numId w:val="34"/>
        </w:numPr>
        <w:jc w:val="both"/>
      </w:pPr>
      <w:r>
        <w:rPr>
          <w:rFonts w:ascii="Times New Roman" w:eastAsia="Calibri" w:hAnsi="Times New Roman" w:cs="Times New Roman"/>
          <w:szCs w:val="22"/>
          <w:lang w:eastAsia="es-ES"/>
        </w:rPr>
        <w:t>SAREB</w:t>
      </w:r>
      <w:r>
        <w:rPr>
          <w:rFonts w:ascii="Times New Roman" w:eastAsia="Calibri" w:hAnsi="Times New Roman" w:cs="Times New Roman"/>
          <w:szCs w:val="22"/>
          <w:lang w:eastAsia="es-ES"/>
        </w:rPr>
        <w:t>, sin alejarse del mandato legal que le ha sido encomendado, desea contribuir a paliar los problemas sociales derivados de la crisis económica mediante la cesión del usufructo temporal d</w:t>
      </w:r>
      <w:r>
        <w:rPr>
          <w:rFonts w:ascii="Times New Roman" w:eastAsia="Calibri" w:hAnsi="Times New Roman" w:cs="Times New Roman"/>
          <w:szCs w:val="22"/>
          <w:lang w:eastAsia="es-ES"/>
        </w:rPr>
        <w:t>e viviendas.</w:t>
      </w:r>
    </w:p>
    <w:p w14:paraId="001BBB0D" w14:textId="77777777" w:rsidR="004E7B20" w:rsidRDefault="004E7B20">
      <w:pPr>
        <w:pStyle w:val="Standard"/>
        <w:ind w:left="720"/>
        <w:jc w:val="both"/>
        <w:rPr>
          <w:rFonts w:ascii="Times New Roman" w:eastAsia="Calibri" w:hAnsi="Times New Roman" w:cs="Times New Roman"/>
          <w:szCs w:val="22"/>
          <w:lang w:eastAsia="es-ES"/>
        </w:rPr>
      </w:pPr>
    </w:p>
    <w:p w14:paraId="42E39D71" w14:textId="77777777" w:rsidR="004E7B20" w:rsidRDefault="00CC7D45">
      <w:pPr>
        <w:pStyle w:val="Standard"/>
        <w:ind w:left="720"/>
        <w:jc w:val="both"/>
      </w:pPr>
      <w:r>
        <w:rPr>
          <w:rFonts w:ascii="Times New Roman" w:eastAsia="Calibri" w:hAnsi="Times New Roman" w:cs="Times New Roman"/>
          <w:szCs w:val="22"/>
          <w:lang w:eastAsia="es-ES"/>
        </w:rPr>
        <w:t xml:space="preserve">Para articular ese objetivo, ha buscado la colaboración de instituciones públicas competentes en materia de vivienda, tales como </w:t>
      </w:r>
      <w:r>
        <w:rPr>
          <w:rFonts w:ascii="Times New Roman" w:eastAsia="Calibri" w:hAnsi="Times New Roman" w:cs="Times New Roman"/>
          <w:szCs w:val="22"/>
          <w:shd w:val="clear" w:color="auto" w:fill="C0C0C0"/>
          <w:lang w:eastAsia="es-ES"/>
        </w:rPr>
        <w:t>[insertar Ayuntamiento].</w:t>
      </w:r>
    </w:p>
    <w:p w14:paraId="311BC8FA" w14:textId="77777777" w:rsidR="004E7B20" w:rsidRDefault="004E7B20">
      <w:pPr>
        <w:pStyle w:val="Standard"/>
        <w:ind w:left="720"/>
        <w:jc w:val="both"/>
        <w:rPr>
          <w:rFonts w:ascii="Times New Roman" w:eastAsia="Calibri" w:hAnsi="Times New Roman" w:cs="Times New Roman"/>
          <w:szCs w:val="22"/>
          <w:lang w:eastAsia="es-ES"/>
        </w:rPr>
      </w:pPr>
    </w:p>
    <w:p w14:paraId="11F9E747" w14:textId="77777777" w:rsidR="004E7B20" w:rsidRDefault="00CC7D45">
      <w:pPr>
        <w:pStyle w:val="Standard"/>
        <w:ind w:left="72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SAREB entiende que la cesión temporal en usufructo de un número limitado de viviendas a</w:t>
      </w:r>
      <w:r>
        <w:rPr>
          <w:rFonts w:ascii="Times New Roman" w:eastAsia="Calibri" w:hAnsi="Times New Roman" w:cs="Times New Roman"/>
          <w:szCs w:val="22"/>
          <w:lang w:eastAsia="es-ES"/>
        </w:rPr>
        <w:t xml:space="preserve"> instituciones competentes para destinarlas a fines sociales, mediante su puesta el régimen de alquiler o alojamiento, resulta compatible con su labor fundamental de liquidación de activos procedentes de la reestructuración bancaria, toda vez que se produz</w:t>
      </w:r>
      <w:r>
        <w:rPr>
          <w:rFonts w:ascii="Times New Roman" w:eastAsia="Calibri" w:hAnsi="Times New Roman" w:cs="Times New Roman"/>
          <w:szCs w:val="22"/>
          <w:lang w:eastAsia="es-ES"/>
        </w:rPr>
        <w:t>ca dentro de unas determinadas condiciones establecidas en este Convenio.</w:t>
      </w:r>
    </w:p>
    <w:p w14:paraId="3B2A5B12" w14:textId="77777777" w:rsidR="004E7B20" w:rsidRDefault="004E7B20">
      <w:pPr>
        <w:pStyle w:val="Standard"/>
        <w:ind w:left="720" w:hanging="360"/>
        <w:jc w:val="both"/>
        <w:rPr>
          <w:rFonts w:ascii="Times New Roman" w:eastAsia="Calibri" w:hAnsi="Times New Roman" w:cs="Times New Roman"/>
          <w:szCs w:val="22"/>
          <w:lang w:eastAsia="es-ES"/>
        </w:rPr>
      </w:pPr>
    </w:p>
    <w:p w14:paraId="62F497EE" w14:textId="77777777" w:rsidR="004E7B20" w:rsidRDefault="00CC7D45">
      <w:pPr>
        <w:pStyle w:val="Standard"/>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Por las razones anteriores expuestas, las partes acuerdan formalizar el presente Convenio de Colaboración, lo que llevan a efecto en virtud de las siguientes</w:t>
      </w:r>
    </w:p>
    <w:p w14:paraId="5C756FDC" w14:textId="77777777" w:rsidR="004E7B20" w:rsidRDefault="004E7B20">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cs="Times New Roman"/>
          <w:color w:val="000000"/>
          <w:lang w:eastAsia="ca-ES"/>
        </w:rPr>
      </w:pPr>
    </w:p>
    <w:p w14:paraId="20512211" w14:textId="77777777" w:rsidR="004E7B20" w:rsidRDefault="004E7B20">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cs="Times New Roman"/>
          <w:color w:val="000000"/>
          <w:lang w:eastAsia="ca-ES"/>
        </w:rPr>
      </w:pPr>
    </w:p>
    <w:p w14:paraId="6394A32A" w14:textId="77777777" w:rsidR="004E7B20" w:rsidRDefault="00CC7D45">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outlineLvl w:val="0"/>
        <w:rPr>
          <w:rFonts w:ascii="Times New Roman" w:hAnsi="Times New Roman" w:cs="Times New Roman"/>
          <w:b/>
          <w:bCs/>
          <w:color w:val="000000"/>
          <w:lang w:eastAsia="ca-ES"/>
        </w:rPr>
      </w:pPr>
      <w:r>
        <w:rPr>
          <w:rFonts w:ascii="Times New Roman" w:hAnsi="Times New Roman" w:cs="Times New Roman"/>
          <w:b/>
          <w:bCs/>
          <w:color w:val="000000"/>
          <w:lang w:eastAsia="ca-ES"/>
        </w:rPr>
        <w:t>CLÁUSULAS:</w:t>
      </w:r>
    </w:p>
    <w:p w14:paraId="58447CEA" w14:textId="77777777" w:rsidR="004E7B20" w:rsidRDefault="004E7B20">
      <w:pPr>
        <w:pStyle w:val="Standard"/>
        <w:keepNext/>
        <w:keepLines/>
        <w:suppressAutoHyphens w:val="0"/>
        <w:jc w:val="both"/>
        <w:rPr>
          <w:rFonts w:ascii="Times New Roman" w:eastAsia="Calibri" w:hAnsi="Times New Roman" w:cs="Times New Roman"/>
          <w:b/>
          <w:bCs/>
          <w:szCs w:val="22"/>
          <w:lang w:eastAsia="es-ES"/>
        </w:rPr>
      </w:pPr>
    </w:p>
    <w:p w14:paraId="5679041C" w14:textId="77777777" w:rsidR="004E7B20" w:rsidRDefault="00CC7D45">
      <w:pPr>
        <w:pStyle w:val="Standard"/>
        <w:keepNext/>
        <w:keepLines/>
        <w:suppressAutoHyphens w:val="0"/>
        <w:jc w:val="both"/>
        <w:rPr>
          <w:rFonts w:ascii="Times New Roman" w:eastAsia="Calibri" w:hAnsi="Times New Roman" w:cs="Times New Roman"/>
          <w:b/>
          <w:bCs/>
          <w:szCs w:val="22"/>
          <w:lang w:eastAsia="es-ES"/>
        </w:rPr>
      </w:pPr>
      <w:proofErr w:type="gramStart"/>
      <w:r>
        <w:rPr>
          <w:rFonts w:ascii="Times New Roman" w:eastAsia="Calibri" w:hAnsi="Times New Roman" w:cs="Times New Roman"/>
          <w:b/>
          <w:bCs/>
          <w:szCs w:val="22"/>
          <w:lang w:eastAsia="es-ES"/>
        </w:rPr>
        <w:t>Primera.-</w:t>
      </w:r>
      <w:proofErr w:type="gramEnd"/>
      <w:r>
        <w:rPr>
          <w:rFonts w:ascii="Times New Roman" w:eastAsia="Calibri" w:hAnsi="Times New Roman" w:cs="Times New Roman"/>
          <w:b/>
          <w:bCs/>
          <w:szCs w:val="22"/>
          <w:lang w:eastAsia="es-ES"/>
        </w:rPr>
        <w:t xml:space="preserve"> Objeto y fines</w:t>
      </w:r>
    </w:p>
    <w:p w14:paraId="7B9F7D9C" w14:textId="77777777" w:rsidR="004E7B20" w:rsidRDefault="004E7B20">
      <w:pPr>
        <w:pStyle w:val="Standard"/>
        <w:keepNext/>
        <w:keepLines/>
        <w:suppressAutoHyphens w:val="0"/>
        <w:jc w:val="both"/>
        <w:rPr>
          <w:rFonts w:ascii="Times New Roman" w:eastAsia="Calibri" w:hAnsi="Times New Roman" w:cs="Times New Roman"/>
          <w:b/>
          <w:bCs/>
          <w:szCs w:val="22"/>
          <w:lang w:eastAsia="es-ES"/>
        </w:rPr>
      </w:pPr>
    </w:p>
    <w:p w14:paraId="30A2C8E7" w14:textId="77777777" w:rsidR="004E7B20" w:rsidRDefault="00CC7D45">
      <w:pPr>
        <w:pStyle w:val="Standard"/>
        <w:numPr>
          <w:ilvl w:val="1"/>
          <w:numId w:val="24"/>
        </w:numPr>
        <w:suppressAutoHyphens w:val="0"/>
        <w:ind w:left="567" w:firstLine="0"/>
        <w:jc w:val="both"/>
      </w:pPr>
      <w:r>
        <w:rPr>
          <w:rFonts w:ascii="Times New Roman" w:eastAsia="Calibri" w:hAnsi="Times New Roman" w:cs="Times New Roman"/>
          <w:bCs/>
          <w:szCs w:val="22"/>
          <w:lang w:eastAsia="es-ES"/>
        </w:rPr>
        <w:t xml:space="preserve">El objeto de este Convenio es establecer las condiciones de colaboración entre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bCs/>
          <w:szCs w:val="22"/>
          <w:lang w:eastAsia="es-ES"/>
        </w:rPr>
        <w:t xml:space="preserve"> y la SAREB, que permitan destinar durante un tiempo determinado parte de las viviendas propiedad de esta última, al alquiler so</w:t>
      </w:r>
      <w:r>
        <w:rPr>
          <w:rFonts w:ascii="Times New Roman" w:eastAsia="Calibri" w:hAnsi="Times New Roman" w:cs="Times New Roman"/>
          <w:bCs/>
          <w:szCs w:val="22"/>
          <w:lang w:eastAsia="es-ES"/>
        </w:rPr>
        <w:t xml:space="preserve">cial o al alojamiento de personas en especiales circunstancias de protección bajo la gestión de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bCs/>
          <w:szCs w:val="22"/>
          <w:lang w:eastAsia="es-ES"/>
        </w:rPr>
        <w:t>.</w:t>
      </w:r>
    </w:p>
    <w:p w14:paraId="700209E0" w14:textId="77777777" w:rsidR="004E7B20" w:rsidRDefault="004E7B20">
      <w:pPr>
        <w:pStyle w:val="Standard"/>
        <w:suppressAutoHyphens w:val="0"/>
        <w:ind w:left="567"/>
        <w:jc w:val="both"/>
        <w:rPr>
          <w:rFonts w:ascii="Times New Roman" w:eastAsia="Calibri" w:hAnsi="Times New Roman" w:cs="Times New Roman"/>
          <w:bCs/>
          <w:szCs w:val="22"/>
          <w:lang w:eastAsia="es-ES"/>
        </w:rPr>
      </w:pPr>
    </w:p>
    <w:p w14:paraId="1941CCEA" w14:textId="77777777" w:rsidR="004E7B20" w:rsidRDefault="00CC7D45">
      <w:pPr>
        <w:pStyle w:val="Standard"/>
        <w:numPr>
          <w:ilvl w:val="1"/>
          <w:numId w:val="24"/>
        </w:numPr>
        <w:suppressAutoHyphens w:val="0"/>
        <w:ind w:left="567" w:firstLine="0"/>
        <w:jc w:val="both"/>
      </w:pPr>
      <w:r>
        <w:rPr>
          <w:rFonts w:ascii="Times New Roman" w:eastAsia="Calibri" w:hAnsi="Times New Roman" w:cs="Times New Roman"/>
          <w:bCs/>
          <w:szCs w:val="22"/>
          <w:lang w:eastAsia="es-ES"/>
        </w:rPr>
        <w:t xml:space="preserve">En este sentido, SAREB se compromete a ceder en usufructo a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bCs/>
          <w:szCs w:val="22"/>
          <w:lang w:eastAsia="es-ES"/>
        </w:rPr>
        <w:t xml:space="preserve">, una cifra inicial de </w:t>
      </w:r>
      <w:r>
        <w:rPr>
          <w:rFonts w:ascii="Times New Roman" w:eastAsia="Calibri" w:hAnsi="Times New Roman" w:cs="Times New Roman"/>
          <w:bCs/>
          <w:szCs w:val="22"/>
          <w:shd w:val="clear" w:color="auto" w:fill="C0C0C0"/>
          <w:lang w:eastAsia="es-ES"/>
        </w:rPr>
        <w:t>[insertar número]</w:t>
      </w:r>
      <w:r>
        <w:rPr>
          <w:rFonts w:ascii="Times New Roman" w:eastAsia="Calibri" w:hAnsi="Times New Roman" w:cs="Times New Roman"/>
          <w:bCs/>
          <w:szCs w:val="22"/>
          <w:lang w:eastAsia="es-ES"/>
        </w:rPr>
        <w:t xml:space="preserve"> viviendas,</w:t>
      </w:r>
      <w:r>
        <w:rPr>
          <w:rFonts w:ascii="Times New Roman" w:eastAsia="Calibri" w:hAnsi="Times New Roman" w:cs="Times New Roman"/>
          <w:bCs/>
          <w:szCs w:val="22"/>
          <w:lang w:eastAsia="es-ES"/>
        </w:rPr>
        <w:t xml:space="preserve"> recibiendo de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bCs/>
          <w:szCs w:val="22"/>
          <w:lang w:eastAsia="es-ES"/>
        </w:rPr>
        <w:t xml:space="preserve"> una contraprestación mensual por cada una de las viviendas, en los términos y condiciones que se establecen en el presente documento.</w:t>
      </w:r>
    </w:p>
    <w:p w14:paraId="0C5EEE46" w14:textId="77777777" w:rsidR="004E7B20" w:rsidRDefault="004E7B20">
      <w:pPr>
        <w:pStyle w:val="Standard"/>
        <w:suppressAutoHyphens w:val="0"/>
        <w:ind w:left="567"/>
        <w:jc w:val="both"/>
        <w:rPr>
          <w:rFonts w:ascii="Times New Roman" w:eastAsia="Calibri" w:hAnsi="Times New Roman" w:cs="Times New Roman"/>
          <w:bCs/>
          <w:szCs w:val="22"/>
          <w:lang w:eastAsia="es-ES"/>
        </w:rPr>
      </w:pPr>
    </w:p>
    <w:p w14:paraId="30E7AEED" w14:textId="77777777" w:rsidR="004E7B20" w:rsidRDefault="00CC7D45">
      <w:pPr>
        <w:pStyle w:val="Standard"/>
        <w:numPr>
          <w:ilvl w:val="1"/>
          <w:numId w:val="24"/>
        </w:numPr>
        <w:suppressAutoHyphens w:val="0"/>
        <w:ind w:left="567" w:firstLine="0"/>
        <w:jc w:val="both"/>
      </w:pPr>
      <w:r>
        <w:rPr>
          <w:rFonts w:ascii="Times New Roman" w:eastAsia="Calibri" w:hAnsi="Times New Roman" w:cs="Times New Roman"/>
          <w:bCs/>
          <w:szCs w:val="22"/>
          <w:lang w:eastAsia="es-ES"/>
        </w:rPr>
        <w:t xml:space="preserve">La gestión de las viviendas se llevará a cabo, de forma directa por parte de </w:t>
      </w:r>
      <w:r>
        <w:rPr>
          <w:rFonts w:ascii="Times New Roman" w:eastAsia="Calibri" w:hAnsi="Times New Roman" w:cs="Times New Roman"/>
          <w:szCs w:val="22"/>
          <w:shd w:val="clear" w:color="auto" w:fill="C0C0C0"/>
          <w:lang w:eastAsia="es-ES"/>
        </w:rPr>
        <w:t>[inse</w:t>
      </w:r>
      <w:r>
        <w:rPr>
          <w:rFonts w:ascii="Times New Roman" w:eastAsia="Calibri" w:hAnsi="Times New Roman" w:cs="Times New Roman"/>
          <w:szCs w:val="22"/>
          <w:shd w:val="clear" w:color="auto" w:fill="C0C0C0"/>
          <w:lang w:eastAsia="es-ES"/>
        </w:rPr>
        <w:t>rtar Ayuntamiento]</w:t>
      </w:r>
      <w:r>
        <w:rPr>
          <w:rFonts w:ascii="Times New Roman" w:eastAsia="Calibri" w:hAnsi="Times New Roman" w:cs="Times New Roman"/>
          <w:szCs w:val="22"/>
          <w:lang w:eastAsia="es-ES"/>
        </w:rPr>
        <w:t>.</w:t>
      </w:r>
    </w:p>
    <w:p w14:paraId="432E761E" w14:textId="77777777" w:rsidR="004E7B20" w:rsidRDefault="004E7B20">
      <w:pPr>
        <w:pStyle w:val="Standard"/>
        <w:suppressAutoHyphens w:val="0"/>
        <w:jc w:val="both"/>
        <w:rPr>
          <w:rFonts w:ascii="Times New Roman" w:eastAsia="Calibri" w:hAnsi="Times New Roman" w:cs="Times New Roman"/>
          <w:bCs/>
          <w:szCs w:val="22"/>
          <w:lang w:val="pt-PT" w:eastAsia="es-ES"/>
        </w:rPr>
      </w:pPr>
    </w:p>
    <w:p w14:paraId="68762354" w14:textId="77777777" w:rsidR="004E7B20" w:rsidRDefault="00CC7D45">
      <w:pPr>
        <w:pStyle w:val="Standard"/>
        <w:numPr>
          <w:ilvl w:val="1"/>
          <w:numId w:val="24"/>
        </w:numPr>
        <w:suppressAutoHyphens w:val="0"/>
        <w:ind w:left="567" w:firstLine="0"/>
        <w:jc w:val="both"/>
      </w:pPr>
      <w:r>
        <w:rPr>
          <w:rFonts w:ascii="Times New Roman" w:eastAsia="Calibri" w:hAnsi="Times New Roman" w:cs="Times New Roman"/>
          <w:bCs/>
          <w:szCs w:val="22"/>
          <w:lang w:val="pt-PT" w:eastAsia="es-ES"/>
        </w:rPr>
        <w:t xml:space="preserve">Las viviendas objeto de este Convenio podrán incluir cualesquiera viviendas propiedad de SAREB, en particular, y sin carácter limitativo, viviendas actualmente poseídas por personas físicas en quienes concurra la condición de antiguos </w:t>
      </w:r>
      <w:r>
        <w:rPr>
          <w:rFonts w:ascii="Times New Roman" w:eastAsia="Calibri" w:hAnsi="Times New Roman" w:cs="Times New Roman"/>
          <w:bCs/>
          <w:szCs w:val="22"/>
          <w:lang w:val="pt-PT" w:eastAsia="es-ES"/>
        </w:rPr>
        <w:t xml:space="preserve">deudores hipotecarios, que, habiendo sido objeto de un procedimiento ejecutivo de desahucio, se encuentren en situación previa al lanzamiento judicial, situaciones posesorias irregulares derivadas de un previo arrendamiento como consecuencia del impago de </w:t>
      </w:r>
      <w:r>
        <w:rPr>
          <w:rFonts w:ascii="Times New Roman" w:eastAsia="Calibri" w:hAnsi="Times New Roman" w:cs="Times New Roman"/>
          <w:bCs/>
          <w:szCs w:val="22"/>
          <w:lang w:val="pt-PT" w:eastAsia="es-ES"/>
        </w:rPr>
        <w:t xml:space="preserve">rentas u otras cantidades debidas por el arrendatario o expiración del término contractual, ocupaciones en precario, u otras situaciones posesorias asimiladas. La cesión de tales viviendas ocupadas se efectúa con el fin de que </w:t>
      </w:r>
      <w:r>
        <w:rPr>
          <w:rFonts w:ascii="Times New Roman" w:eastAsia="Calibri" w:hAnsi="Times New Roman" w:cs="Times New Roman"/>
          <w:szCs w:val="22"/>
          <w:shd w:val="clear" w:color="auto" w:fill="C0C0C0"/>
          <w:lang w:eastAsia="es-ES"/>
        </w:rPr>
        <w:t xml:space="preserve">[insertar </w:t>
      </w:r>
      <w:r>
        <w:rPr>
          <w:rFonts w:ascii="Times New Roman" w:eastAsia="Calibri" w:hAnsi="Times New Roman" w:cs="Times New Roman"/>
          <w:szCs w:val="22"/>
          <w:shd w:val="clear" w:color="auto" w:fill="C0C0C0"/>
          <w:lang w:eastAsia="es-ES"/>
        </w:rPr>
        <w:t>Ayuntamiento]</w:t>
      </w:r>
      <w:r>
        <w:rPr>
          <w:rFonts w:ascii="Times New Roman" w:eastAsia="Calibri" w:hAnsi="Times New Roman" w:cs="Times New Roman"/>
          <w:szCs w:val="22"/>
          <w:lang w:eastAsia="es-ES"/>
        </w:rPr>
        <w:t xml:space="preserve"> </w:t>
      </w:r>
      <w:r>
        <w:rPr>
          <w:rFonts w:ascii="Times New Roman" w:eastAsia="Calibri" w:hAnsi="Times New Roman" w:cs="Times New Roman"/>
          <w:bCs/>
          <w:szCs w:val="22"/>
          <w:lang w:val="pt-PT" w:eastAsia="es-ES"/>
        </w:rPr>
        <w:t xml:space="preserve">regularice la situación </w:t>
      </w:r>
      <w:r>
        <w:rPr>
          <w:rFonts w:ascii="Times New Roman" w:eastAsia="Calibri" w:hAnsi="Times New Roman" w:cs="Times New Roman"/>
          <w:bCs/>
          <w:szCs w:val="22"/>
          <w:lang w:val="pt-PT" w:eastAsia="es-ES"/>
        </w:rPr>
        <w:lastRenderedPageBreak/>
        <w:t>posesoria mediante su transformación en un alquiler asequible u otra fórmula de solventar esa irregularidad posesoria, evitando así que el potencial lanzamiento se produzca.</w:t>
      </w:r>
    </w:p>
    <w:p w14:paraId="173643D5" w14:textId="77777777" w:rsidR="004E7B20" w:rsidRDefault="004E7B20">
      <w:pPr>
        <w:pStyle w:val="Prrafodelista"/>
        <w:rPr>
          <w:rFonts w:ascii="Times New Roman" w:eastAsia="Calibri" w:hAnsi="Times New Roman"/>
          <w:bCs/>
          <w:szCs w:val="22"/>
          <w:lang w:val="pt-PT" w:eastAsia="es-ES"/>
        </w:rPr>
      </w:pPr>
    </w:p>
    <w:p w14:paraId="17D4EE97" w14:textId="77777777" w:rsidR="004E7B20" w:rsidRDefault="00CC7D45">
      <w:pPr>
        <w:pStyle w:val="Standard"/>
        <w:numPr>
          <w:ilvl w:val="1"/>
          <w:numId w:val="24"/>
        </w:numPr>
        <w:suppressAutoHyphens w:val="0"/>
        <w:ind w:left="567" w:firstLine="0"/>
        <w:jc w:val="both"/>
      </w:pPr>
      <w:r>
        <w:rPr>
          <w:rFonts w:ascii="Times New Roman" w:eastAsia="Calibri" w:hAnsi="Times New Roman" w:cs="Times New Roman"/>
          <w:bCs/>
          <w:szCs w:val="22"/>
          <w:lang w:val="pt-PT" w:eastAsia="es-ES"/>
        </w:rPr>
        <w:t xml:space="preserve">El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manifiesta su vo</w:t>
      </w:r>
      <w:r>
        <w:rPr>
          <w:rFonts w:ascii="Times New Roman" w:eastAsia="Calibri" w:hAnsi="Times New Roman" w:cs="Times New Roman"/>
          <w:szCs w:val="22"/>
          <w:lang w:eastAsia="es-ES"/>
        </w:rPr>
        <w:t>luntad, siempre que sea posible, de proceder a la compraventa de los activos cedidos en el convenio, y Sareb, igualmente siempre que sea posible, a facilitar la misma.</w:t>
      </w:r>
    </w:p>
    <w:p w14:paraId="5ED1D0C6" w14:textId="77777777" w:rsidR="004E7B20" w:rsidRDefault="004E7B20">
      <w:pPr>
        <w:pStyle w:val="Standard"/>
        <w:suppressAutoHyphens w:val="0"/>
        <w:ind w:left="567"/>
        <w:jc w:val="both"/>
        <w:rPr>
          <w:rFonts w:ascii="Times New Roman" w:eastAsia="Calibri" w:hAnsi="Times New Roman" w:cs="Times New Roman"/>
          <w:bCs/>
          <w:szCs w:val="22"/>
          <w:shd w:val="clear" w:color="auto" w:fill="FFFF00"/>
          <w:lang w:val="pt-PT" w:eastAsia="es-ES"/>
        </w:rPr>
      </w:pPr>
    </w:p>
    <w:p w14:paraId="3243256E" w14:textId="77777777" w:rsidR="004E7B20" w:rsidRDefault="00CC7D45">
      <w:pPr>
        <w:pStyle w:val="Standard"/>
        <w:numPr>
          <w:ilvl w:val="1"/>
          <w:numId w:val="24"/>
        </w:numPr>
        <w:suppressAutoHyphens w:val="0"/>
        <w:ind w:left="567" w:firstLine="0"/>
        <w:jc w:val="both"/>
      </w:pPr>
      <w:r>
        <w:rPr>
          <w:rFonts w:ascii="Times New Roman" w:eastAsia="Calibri" w:hAnsi="Times New Roman" w:cs="Times New Roman"/>
          <w:bCs/>
          <w:szCs w:val="22"/>
          <w:lang w:val="pt-PT" w:eastAsia="es-ES"/>
        </w:rPr>
        <w:t xml:space="preserve">La consecución de los fines de este Convenio podrá articularse por </w:t>
      </w:r>
      <w:r>
        <w:rPr>
          <w:rFonts w:ascii="Times New Roman" w:eastAsia="Calibri" w:hAnsi="Times New Roman" w:cs="Times New Roman"/>
          <w:szCs w:val="22"/>
          <w:shd w:val="clear" w:color="auto" w:fill="C0C0C0"/>
          <w:lang w:eastAsia="es-ES"/>
        </w:rPr>
        <w:t>[insertar Ayuntamien</w:t>
      </w:r>
      <w:r>
        <w:rPr>
          <w:rFonts w:ascii="Times New Roman" w:eastAsia="Calibri" w:hAnsi="Times New Roman" w:cs="Times New Roman"/>
          <w:szCs w:val="22"/>
          <w:shd w:val="clear" w:color="auto" w:fill="C0C0C0"/>
          <w:lang w:eastAsia="es-ES"/>
        </w:rPr>
        <w:t>to]</w:t>
      </w:r>
      <w:r>
        <w:rPr>
          <w:rFonts w:ascii="Times New Roman" w:eastAsia="Calibri" w:hAnsi="Times New Roman" w:cs="Times New Roman"/>
          <w:bCs/>
          <w:szCs w:val="22"/>
          <w:lang w:val="pt-PT" w:eastAsia="es-ES"/>
        </w:rPr>
        <w:t xml:space="preserve"> en colaboración con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bCs/>
          <w:szCs w:val="22"/>
          <w:lang w:val="pt-PT" w:eastAsia="es-ES"/>
        </w:rPr>
        <w:t xml:space="preserve">, sin que ello modifique la condición de cesionario de las mismas de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w:t>
      </w:r>
      <w:r>
        <w:rPr>
          <w:rFonts w:ascii="Times New Roman" w:eastAsia="Calibri" w:hAnsi="Times New Roman" w:cs="Times New Roman"/>
          <w:bCs/>
          <w:szCs w:val="22"/>
          <w:lang w:val="pt-PT" w:eastAsia="es-ES"/>
        </w:rPr>
        <w:t>que será la única responsable frente a SAREB del cumplimeto de todas las obligaciones dimanantes de este Convenio.</w:t>
      </w:r>
    </w:p>
    <w:p w14:paraId="54FFBD35" w14:textId="77777777" w:rsidR="004E7B20" w:rsidRDefault="004E7B20">
      <w:pPr>
        <w:pStyle w:val="Standard"/>
        <w:suppressAutoHyphens w:val="0"/>
        <w:jc w:val="both"/>
        <w:rPr>
          <w:rFonts w:ascii="Times New Roman" w:eastAsia="Calibri" w:hAnsi="Times New Roman" w:cs="Times New Roman"/>
          <w:b/>
          <w:bCs/>
          <w:szCs w:val="22"/>
          <w:lang w:val="pt-PT" w:eastAsia="es-ES"/>
        </w:rPr>
      </w:pPr>
    </w:p>
    <w:p w14:paraId="720A88B2" w14:textId="77777777" w:rsidR="004E7B20" w:rsidRDefault="00CC7D45">
      <w:pPr>
        <w:pStyle w:val="Standard"/>
        <w:suppressAutoHyphens w:val="0"/>
        <w:jc w:val="both"/>
      </w:pPr>
      <w:r>
        <w:rPr>
          <w:rFonts w:ascii="Times New Roman" w:eastAsia="Calibri" w:hAnsi="Times New Roman" w:cs="Times New Roman"/>
          <w:b/>
          <w:bCs/>
          <w:szCs w:val="22"/>
          <w:lang w:val="pt-PT" w:eastAsia="es-ES"/>
        </w:rPr>
        <w:t>Segunda.- Características y condiciones</w:t>
      </w:r>
      <w:r>
        <w:rPr>
          <w:rFonts w:ascii="Times New Roman" w:eastAsia="Calibri" w:hAnsi="Times New Roman" w:cs="Times New Roman"/>
          <w:b/>
          <w:bCs/>
          <w:szCs w:val="22"/>
          <w:lang w:eastAsia="es-ES"/>
        </w:rPr>
        <w:t xml:space="preserve"> del contrato de cesión en usufructo entre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w:t>
      </w:r>
      <w:r>
        <w:rPr>
          <w:rFonts w:ascii="Times New Roman" w:eastAsia="Calibri" w:hAnsi="Times New Roman" w:cs="Times New Roman"/>
          <w:b/>
          <w:bCs/>
          <w:szCs w:val="22"/>
          <w:lang w:eastAsia="es-ES"/>
        </w:rPr>
        <w:t>y SAREB</w:t>
      </w:r>
    </w:p>
    <w:p w14:paraId="192B0AD4" w14:textId="77777777" w:rsidR="004E7B20" w:rsidRDefault="004E7B20">
      <w:pPr>
        <w:pStyle w:val="Standard"/>
        <w:suppressAutoHyphens w:val="0"/>
        <w:jc w:val="both"/>
        <w:rPr>
          <w:rFonts w:ascii="Times New Roman" w:eastAsia="Calibri" w:hAnsi="Times New Roman" w:cs="Times New Roman"/>
          <w:b/>
          <w:bCs/>
          <w:szCs w:val="22"/>
          <w:lang w:eastAsia="es-ES"/>
        </w:rPr>
      </w:pPr>
    </w:p>
    <w:p w14:paraId="234B2BBA" w14:textId="77777777" w:rsidR="004E7B20" w:rsidRDefault="00CC7D45">
      <w:pPr>
        <w:pStyle w:val="Standard"/>
        <w:numPr>
          <w:ilvl w:val="1"/>
          <w:numId w:val="23"/>
        </w:numPr>
        <w:suppressAutoHyphens w:val="0"/>
        <w:jc w:val="both"/>
      </w:pPr>
      <w:r>
        <w:rPr>
          <w:rFonts w:ascii="Times New Roman" w:eastAsia="Calibri" w:hAnsi="Times New Roman" w:cs="Times New Roman"/>
          <w:bCs/>
          <w:szCs w:val="22"/>
          <w:lang w:eastAsia="es-ES"/>
        </w:rPr>
        <w:t xml:space="preserve">SAREB y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w:t>
      </w:r>
      <w:r>
        <w:rPr>
          <w:rFonts w:ascii="Times New Roman" w:eastAsia="Calibri" w:hAnsi="Times New Roman" w:cs="Times New Roman"/>
          <w:bCs/>
          <w:szCs w:val="22"/>
          <w:lang w:eastAsia="es-ES"/>
        </w:rPr>
        <w:t>firmarán cuantos contratos sean necesarios, ajustados al modelo que se adjunta como ANEXO, por los que SAREB cederá el usufructo de las viviendas detalladas en dicho contrato, manteniendo SAREB la nuda propiedad de las mismas.</w:t>
      </w:r>
    </w:p>
    <w:p w14:paraId="15D947B4" w14:textId="77777777" w:rsidR="004E7B20" w:rsidRDefault="004E7B20">
      <w:pPr>
        <w:pStyle w:val="Standard"/>
        <w:suppressAutoHyphens w:val="0"/>
        <w:jc w:val="both"/>
        <w:rPr>
          <w:rFonts w:ascii="Times New Roman" w:eastAsia="Calibri" w:hAnsi="Times New Roman" w:cs="Times New Roman"/>
          <w:szCs w:val="22"/>
          <w:lang w:eastAsia="es-ES"/>
        </w:rPr>
      </w:pPr>
    </w:p>
    <w:p w14:paraId="4BA082A8" w14:textId="77777777" w:rsidR="004E7B20" w:rsidRDefault="00CC7D45">
      <w:pPr>
        <w:pStyle w:val="Standard"/>
        <w:numPr>
          <w:ilvl w:val="1"/>
          <w:numId w:val="23"/>
        </w:numPr>
        <w:suppressAutoHyphens w:val="0"/>
        <w:jc w:val="both"/>
      </w:pPr>
      <w:r>
        <w:rPr>
          <w:rFonts w:ascii="Times New Roman" w:eastAsia="Calibri" w:hAnsi="Times New Roman" w:cs="Times New Roman"/>
          <w:szCs w:val="22"/>
          <w:lang w:eastAsia="es-ES"/>
        </w:rPr>
        <w:t>El montante de la contrapr</w:t>
      </w:r>
      <w:r>
        <w:rPr>
          <w:rFonts w:ascii="Times New Roman" w:eastAsia="Calibri" w:hAnsi="Times New Roman" w:cs="Times New Roman"/>
          <w:szCs w:val="22"/>
          <w:lang w:eastAsia="es-ES"/>
        </w:rPr>
        <w:t xml:space="preserve">estación por dicha cesión en usufructo a satisfacer por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dependerá de si la vivienda se encuentra o no ocupada en el momento de la cesión.</w:t>
      </w:r>
    </w:p>
    <w:p w14:paraId="67C13EB2" w14:textId="77777777" w:rsidR="004E7B20" w:rsidRDefault="004E7B20">
      <w:pPr>
        <w:pStyle w:val="Standard"/>
        <w:suppressAutoHyphens w:val="0"/>
        <w:ind w:left="624"/>
        <w:jc w:val="both"/>
        <w:rPr>
          <w:rFonts w:ascii="Times New Roman" w:eastAsia="Calibri" w:hAnsi="Times New Roman" w:cs="Times New Roman"/>
          <w:szCs w:val="22"/>
          <w:lang w:eastAsia="es-ES"/>
        </w:rPr>
      </w:pPr>
    </w:p>
    <w:p w14:paraId="7B8F206E" w14:textId="77777777" w:rsidR="004E7B20" w:rsidRDefault="00CC7D45">
      <w:pPr>
        <w:pStyle w:val="Standard"/>
        <w:suppressAutoHyphens w:val="0"/>
        <w:ind w:left="624"/>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Será una cantidad fija mensual, por cada una de las unidades, y que ascenderá a 125 €/mes, p</w:t>
      </w:r>
      <w:r>
        <w:rPr>
          <w:rFonts w:ascii="Times New Roman" w:eastAsia="Calibri" w:hAnsi="Times New Roman" w:cs="Times New Roman"/>
          <w:szCs w:val="22"/>
          <w:lang w:eastAsia="es-ES"/>
        </w:rPr>
        <w:t>or cada vivienda que en el momento de la cesión esté vacía, y 75 €/mes por cada vivienda que en el momento de la cesión esté ocupada.</w:t>
      </w:r>
    </w:p>
    <w:p w14:paraId="3CDC2023" w14:textId="77777777" w:rsidR="004E7B20" w:rsidRDefault="004E7B20">
      <w:pPr>
        <w:pStyle w:val="Standard"/>
        <w:suppressAutoHyphens w:val="0"/>
        <w:ind w:left="624"/>
        <w:jc w:val="both"/>
        <w:rPr>
          <w:rFonts w:ascii="Times New Roman" w:eastAsia="Calibri" w:hAnsi="Times New Roman" w:cs="Times New Roman"/>
          <w:szCs w:val="22"/>
          <w:lang w:eastAsia="es-ES"/>
        </w:rPr>
      </w:pPr>
    </w:p>
    <w:p w14:paraId="63C9A213" w14:textId="77777777" w:rsidR="004E7B20" w:rsidRDefault="00CC7D45">
      <w:pPr>
        <w:pStyle w:val="Standard"/>
        <w:suppressAutoHyphens w:val="0"/>
        <w:ind w:left="624"/>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Las contraprestaciones se entiende impuestos excluidos, y liquidarán a la SAREB con una frecuencia trimestral.</w:t>
      </w:r>
    </w:p>
    <w:p w14:paraId="495B980E" w14:textId="77777777" w:rsidR="004E7B20" w:rsidRDefault="004E7B20">
      <w:pPr>
        <w:pStyle w:val="Standard"/>
        <w:suppressAutoHyphens w:val="0"/>
        <w:jc w:val="both"/>
        <w:rPr>
          <w:rFonts w:ascii="Times New Roman" w:eastAsia="Calibri" w:hAnsi="Times New Roman" w:cs="Times New Roman"/>
          <w:szCs w:val="22"/>
          <w:lang w:eastAsia="es-ES"/>
        </w:rPr>
      </w:pPr>
    </w:p>
    <w:p w14:paraId="59E5332A" w14:textId="77777777" w:rsidR="004E7B20" w:rsidRDefault="00CC7D45">
      <w:pPr>
        <w:pStyle w:val="Standard"/>
        <w:numPr>
          <w:ilvl w:val="1"/>
          <w:numId w:val="23"/>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Se establ</w:t>
      </w:r>
      <w:r>
        <w:rPr>
          <w:rFonts w:ascii="Times New Roman" w:eastAsia="Calibri" w:hAnsi="Times New Roman" w:cs="Times New Roman"/>
          <w:szCs w:val="22"/>
          <w:lang w:eastAsia="es-ES"/>
        </w:rPr>
        <w:t xml:space="preserve">ece un período de carencia para el pago de las contraprestaciones establecidas, que comenzará a computarse en el momento de la firma del contrato de cesión.  </w:t>
      </w:r>
    </w:p>
    <w:p w14:paraId="48E8C98B" w14:textId="77777777" w:rsidR="004E7B20" w:rsidRDefault="004E7B20">
      <w:pPr>
        <w:pStyle w:val="Standard"/>
        <w:suppressAutoHyphens w:val="0"/>
        <w:ind w:left="624"/>
        <w:jc w:val="both"/>
        <w:rPr>
          <w:rFonts w:ascii="Times New Roman" w:eastAsia="Calibri" w:hAnsi="Times New Roman" w:cs="Times New Roman"/>
          <w:szCs w:val="22"/>
          <w:lang w:eastAsia="es-ES"/>
        </w:rPr>
      </w:pPr>
    </w:p>
    <w:p w14:paraId="2588B9EE" w14:textId="77777777" w:rsidR="004E7B20" w:rsidRDefault="00CC7D45">
      <w:pPr>
        <w:pStyle w:val="Standard"/>
        <w:suppressAutoHyphens w:val="0"/>
        <w:ind w:left="624"/>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 xml:space="preserve">En el caso de las viviendas que en el momento de la cesión estén vacías, la contraprestación se </w:t>
      </w:r>
      <w:r>
        <w:rPr>
          <w:rFonts w:ascii="Times New Roman" w:eastAsia="Calibri" w:hAnsi="Times New Roman" w:cs="Times New Roman"/>
          <w:szCs w:val="22"/>
          <w:lang w:eastAsia="es-ES"/>
        </w:rPr>
        <w:t>devengará a los 3 meses desde la fecha de la firma del contrato de usufructo.</w:t>
      </w:r>
    </w:p>
    <w:p w14:paraId="0951B089" w14:textId="77777777" w:rsidR="004E7B20" w:rsidRDefault="004E7B20">
      <w:pPr>
        <w:pStyle w:val="Standard"/>
        <w:suppressAutoHyphens w:val="0"/>
        <w:ind w:left="624"/>
        <w:jc w:val="both"/>
        <w:rPr>
          <w:rFonts w:ascii="Times New Roman" w:eastAsia="Calibri" w:hAnsi="Times New Roman" w:cs="Times New Roman"/>
          <w:szCs w:val="22"/>
          <w:lang w:eastAsia="es-ES"/>
        </w:rPr>
      </w:pPr>
    </w:p>
    <w:p w14:paraId="1DEE3FC7" w14:textId="77777777" w:rsidR="004E7B20" w:rsidRDefault="00CC7D45">
      <w:pPr>
        <w:pStyle w:val="Standard"/>
        <w:suppressAutoHyphens w:val="0"/>
        <w:ind w:left="624"/>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En el caso de las viviendas que en el momento de la cesión estén ocupadas, la contraprestación se devengará a los 6 meses desde la fecha de la firma del contrato de usufructo.</w:t>
      </w:r>
    </w:p>
    <w:p w14:paraId="58117E1F" w14:textId="77777777" w:rsidR="004E7B20" w:rsidRDefault="004E7B20">
      <w:pPr>
        <w:pStyle w:val="Standard"/>
        <w:suppressAutoHyphens w:val="0"/>
        <w:ind w:left="720"/>
        <w:rPr>
          <w:rFonts w:ascii="Times New Roman" w:eastAsia="Calibri" w:hAnsi="Times New Roman" w:cs="Times New Roman"/>
          <w:szCs w:val="22"/>
          <w:lang w:eastAsia="es-ES"/>
        </w:rPr>
      </w:pPr>
    </w:p>
    <w:p w14:paraId="32205A62" w14:textId="77777777" w:rsidR="004E7B20" w:rsidRDefault="00CC7D45">
      <w:pPr>
        <w:pStyle w:val="Standard"/>
        <w:numPr>
          <w:ilvl w:val="1"/>
          <w:numId w:val="23"/>
        </w:numPr>
        <w:suppressAutoHyphens w:val="0"/>
        <w:jc w:val="both"/>
      </w:pPr>
      <w:r>
        <w:rPr>
          <w:rFonts w:ascii="Times New Roman" w:eastAsia="Calibri" w:hAnsi="Times New Roman" w:cs="Times New Roman"/>
          <w:szCs w:val="22"/>
          <w:lang w:eastAsia="en-US"/>
        </w:rPr>
        <w:t xml:space="preserve">Cuando </w:t>
      </w:r>
      <w:r>
        <w:rPr>
          <w:rFonts w:ascii="Times New Roman" w:eastAsia="Calibri" w:hAnsi="Times New Roman" w:cs="Times New Roman"/>
          <w:szCs w:val="22"/>
          <w:lang w:eastAsia="es-ES"/>
        </w:rPr>
        <w:t xml:space="preserve">no sea posible regularizar la situación de los poseedores u ocupantes de las viviendas mediante la formalización de un contrato de alquiler, finalizado el período de carencia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w:t>
      </w:r>
      <w:r>
        <w:rPr>
          <w:rFonts w:ascii="Times New Roman" w:eastAsia="Calibri" w:hAnsi="Times New Roman" w:cs="Times New Roman"/>
          <w:szCs w:val="22"/>
          <w:lang w:eastAsia="es-ES"/>
        </w:rPr>
        <w:t>lo notificará a la SAREB, junto con los informes p</w:t>
      </w:r>
      <w:r>
        <w:rPr>
          <w:rFonts w:ascii="Times New Roman" w:eastAsia="Calibri" w:hAnsi="Times New Roman" w:cs="Times New Roman"/>
          <w:szCs w:val="22"/>
          <w:lang w:eastAsia="es-ES"/>
        </w:rPr>
        <w:t xml:space="preserve">receptivos, siendo devueltas las viviendas sin cargo alguno imputable a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hasta un máximo del 50% de las mismas.</w:t>
      </w:r>
    </w:p>
    <w:p w14:paraId="1E382364" w14:textId="77777777" w:rsidR="004E7B20" w:rsidRDefault="004E7B20">
      <w:pPr>
        <w:pStyle w:val="Standard"/>
        <w:suppressAutoHyphens w:val="0"/>
        <w:ind w:left="624"/>
        <w:jc w:val="both"/>
        <w:rPr>
          <w:rFonts w:ascii="Times New Roman" w:eastAsia="Calibri" w:hAnsi="Times New Roman" w:cs="Times New Roman"/>
          <w:szCs w:val="22"/>
          <w:lang w:eastAsia="es-ES"/>
        </w:rPr>
      </w:pPr>
    </w:p>
    <w:p w14:paraId="6AB2793C" w14:textId="77777777" w:rsidR="004E7B20" w:rsidRDefault="00CC7D45">
      <w:pPr>
        <w:pStyle w:val="Standard"/>
        <w:numPr>
          <w:ilvl w:val="1"/>
          <w:numId w:val="31"/>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Durante la totalidad del plazo de vigencia del contrato de usufructo, la distribución de los gastos entre las partes s</w:t>
      </w:r>
      <w:r>
        <w:rPr>
          <w:rFonts w:ascii="Times New Roman" w:eastAsia="Calibri" w:hAnsi="Times New Roman" w:cs="Times New Roman"/>
          <w:szCs w:val="22"/>
          <w:lang w:eastAsia="es-ES"/>
        </w:rPr>
        <w:t>e repartirá de la siguiente forma:</w:t>
      </w:r>
    </w:p>
    <w:p w14:paraId="5BE1DEB1" w14:textId="77777777" w:rsidR="004E7B20" w:rsidRDefault="004E7B20">
      <w:pPr>
        <w:pStyle w:val="Standard"/>
        <w:suppressAutoHyphens w:val="0"/>
        <w:ind w:left="624"/>
        <w:jc w:val="both"/>
        <w:rPr>
          <w:rFonts w:ascii="Times New Roman" w:eastAsia="Calibri" w:hAnsi="Times New Roman" w:cs="Times New Roman"/>
          <w:szCs w:val="22"/>
          <w:lang w:eastAsia="es-ES"/>
        </w:rPr>
      </w:pPr>
    </w:p>
    <w:p w14:paraId="03291BB9" w14:textId="77777777" w:rsidR="004E7B20" w:rsidRDefault="00CC7D45">
      <w:pPr>
        <w:pStyle w:val="Standard"/>
        <w:suppressAutoHyphens w:val="0"/>
        <w:ind w:left="624"/>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lastRenderedPageBreak/>
        <w:t xml:space="preserve">Serán </w:t>
      </w:r>
      <w:proofErr w:type="spellStart"/>
      <w:r>
        <w:rPr>
          <w:rFonts w:ascii="Times New Roman" w:eastAsia="Calibri" w:hAnsi="Times New Roman" w:cs="Times New Roman"/>
          <w:szCs w:val="22"/>
          <w:lang w:eastAsia="es-ES"/>
        </w:rPr>
        <w:t>de</w:t>
      </w:r>
      <w:proofErr w:type="spellEnd"/>
      <w:r>
        <w:rPr>
          <w:rFonts w:ascii="Times New Roman" w:eastAsia="Calibri" w:hAnsi="Times New Roman" w:cs="Times New Roman"/>
          <w:szCs w:val="22"/>
          <w:lang w:eastAsia="es-ES"/>
        </w:rPr>
        <w:t xml:space="preserve"> cuenta de SAREB los gastos siguientes:</w:t>
      </w:r>
    </w:p>
    <w:p w14:paraId="5B193F81" w14:textId="77777777" w:rsidR="004E7B20" w:rsidRDefault="004E7B20">
      <w:pPr>
        <w:pStyle w:val="Standard"/>
        <w:suppressAutoHyphens w:val="0"/>
        <w:ind w:left="624"/>
        <w:jc w:val="both"/>
        <w:rPr>
          <w:rFonts w:ascii="Times New Roman" w:eastAsia="Calibri" w:hAnsi="Times New Roman" w:cs="Times New Roman"/>
          <w:szCs w:val="22"/>
          <w:lang w:eastAsia="es-ES"/>
        </w:rPr>
      </w:pPr>
    </w:p>
    <w:p w14:paraId="72A613A6" w14:textId="77777777" w:rsidR="004E7B20" w:rsidRDefault="00CC7D45">
      <w:pPr>
        <w:pStyle w:val="Standard"/>
        <w:numPr>
          <w:ilvl w:val="0"/>
          <w:numId w:val="39"/>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La cobertura de seguros de las viviendas (daños y responsabilidad civil).</w:t>
      </w:r>
    </w:p>
    <w:p w14:paraId="684CCBB3" w14:textId="77777777" w:rsidR="004E7B20" w:rsidRDefault="00CC7D45">
      <w:pPr>
        <w:pStyle w:val="Standard"/>
        <w:numPr>
          <w:ilvl w:val="0"/>
          <w:numId w:val="29"/>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Cuotas de la comunidad de propietarios.</w:t>
      </w:r>
    </w:p>
    <w:p w14:paraId="652F90BB" w14:textId="77777777" w:rsidR="004E7B20" w:rsidRDefault="00CC7D45">
      <w:pPr>
        <w:pStyle w:val="Standard"/>
        <w:numPr>
          <w:ilvl w:val="0"/>
          <w:numId w:val="29"/>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 xml:space="preserve">Los gastos y reparaciones que tengan carácter </w:t>
      </w:r>
      <w:r>
        <w:rPr>
          <w:rFonts w:ascii="Times New Roman" w:eastAsia="Calibri" w:hAnsi="Times New Roman" w:cs="Times New Roman"/>
          <w:szCs w:val="22"/>
          <w:lang w:eastAsia="es-ES"/>
        </w:rPr>
        <w:t>extraordinario.</w:t>
      </w:r>
    </w:p>
    <w:p w14:paraId="6CD035B1" w14:textId="77777777" w:rsidR="004E7B20" w:rsidRDefault="00CC7D45">
      <w:pPr>
        <w:pStyle w:val="Standard"/>
        <w:numPr>
          <w:ilvl w:val="0"/>
          <w:numId w:val="29"/>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Gastos de mantenimiento de las condiciones de habitabilidad de la vivienda (zonas privativas) y reparaciones necesarias cuando tengan un carácter extraordinario.</w:t>
      </w:r>
    </w:p>
    <w:p w14:paraId="0AA8A663" w14:textId="77777777" w:rsidR="004E7B20" w:rsidRDefault="004E7B20">
      <w:pPr>
        <w:pStyle w:val="Standard"/>
        <w:suppressAutoHyphens w:val="0"/>
        <w:ind w:left="624"/>
        <w:jc w:val="both"/>
        <w:rPr>
          <w:rFonts w:ascii="Times New Roman" w:eastAsia="Calibri" w:hAnsi="Times New Roman" w:cs="Times New Roman"/>
          <w:szCs w:val="22"/>
          <w:lang w:eastAsia="es-ES"/>
        </w:rPr>
      </w:pPr>
    </w:p>
    <w:p w14:paraId="0303EAC7" w14:textId="77777777" w:rsidR="004E7B20" w:rsidRDefault="00CC7D45">
      <w:pPr>
        <w:pStyle w:val="Standard"/>
        <w:suppressAutoHyphens w:val="0"/>
        <w:ind w:left="624"/>
        <w:jc w:val="both"/>
      </w:pPr>
      <w:r>
        <w:rPr>
          <w:rFonts w:ascii="Times New Roman" w:eastAsia="Calibri" w:hAnsi="Times New Roman" w:cs="Times New Roman"/>
          <w:szCs w:val="22"/>
          <w:lang w:eastAsia="es-ES"/>
        </w:rPr>
        <w:t xml:space="preserve"> Serán </w:t>
      </w:r>
      <w:proofErr w:type="spellStart"/>
      <w:r>
        <w:rPr>
          <w:rFonts w:ascii="Times New Roman" w:eastAsia="Calibri" w:hAnsi="Times New Roman" w:cs="Times New Roman"/>
          <w:szCs w:val="22"/>
          <w:lang w:eastAsia="es-ES"/>
        </w:rPr>
        <w:t>de</w:t>
      </w:r>
      <w:proofErr w:type="spellEnd"/>
      <w:r>
        <w:rPr>
          <w:rFonts w:ascii="Times New Roman" w:eastAsia="Calibri" w:hAnsi="Times New Roman" w:cs="Times New Roman"/>
          <w:szCs w:val="22"/>
          <w:lang w:eastAsia="es-ES"/>
        </w:rPr>
        <w:t xml:space="preserve"> cuenta de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b/>
          <w:szCs w:val="22"/>
          <w:lang w:eastAsia="es-ES"/>
        </w:rPr>
        <w:t>,</w:t>
      </w:r>
      <w:r>
        <w:rPr>
          <w:rFonts w:ascii="Times New Roman" w:eastAsia="Calibri" w:hAnsi="Times New Roman" w:cs="Times New Roman"/>
          <w:szCs w:val="22"/>
          <w:lang w:eastAsia="es-ES"/>
        </w:rPr>
        <w:t xml:space="preserve"> el resto de los gastos, entre ot</w:t>
      </w:r>
      <w:r>
        <w:rPr>
          <w:rFonts w:ascii="Times New Roman" w:eastAsia="Calibri" w:hAnsi="Times New Roman" w:cs="Times New Roman"/>
          <w:szCs w:val="22"/>
          <w:lang w:eastAsia="es-ES"/>
        </w:rPr>
        <w:t>ros, los siguientes:</w:t>
      </w:r>
    </w:p>
    <w:p w14:paraId="48527A5B" w14:textId="77777777" w:rsidR="004E7B20" w:rsidRDefault="004E7B20">
      <w:pPr>
        <w:pStyle w:val="Standard"/>
        <w:suppressAutoHyphens w:val="0"/>
        <w:ind w:left="624"/>
        <w:jc w:val="both"/>
        <w:rPr>
          <w:rFonts w:ascii="Times New Roman" w:eastAsia="Calibri" w:hAnsi="Times New Roman" w:cs="Times New Roman"/>
          <w:szCs w:val="22"/>
          <w:lang w:eastAsia="es-ES"/>
        </w:rPr>
      </w:pPr>
    </w:p>
    <w:p w14:paraId="1F2CD964" w14:textId="77777777" w:rsidR="004E7B20" w:rsidRDefault="00CC7D45">
      <w:pPr>
        <w:pStyle w:val="Standard"/>
        <w:numPr>
          <w:ilvl w:val="0"/>
          <w:numId w:val="29"/>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Cédula de habitabilidad (si no existiera y fuese necesario).</w:t>
      </w:r>
    </w:p>
    <w:p w14:paraId="169CA420" w14:textId="77777777" w:rsidR="004E7B20" w:rsidRDefault="00CC7D45">
      <w:pPr>
        <w:pStyle w:val="Standard"/>
        <w:numPr>
          <w:ilvl w:val="0"/>
          <w:numId w:val="29"/>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Certificado de eficiencia energética (si no existiera y fuese necesario).</w:t>
      </w:r>
    </w:p>
    <w:p w14:paraId="12512E74" w14:textId="77777777" w:rsidR="004E7B20" w:rsidRDefault="00CC7D45">
      <w:pPr>
        <w:pStyle w:val="Standard"/>
        <w:numPr>
          <w:ilvl w:val="0"/>
          <w:numId w:val="29"/>
        </w:numPr>
        <w:suppressAutoHyphens w:val="0"/>
        <w:jc w:val="both"/>
      </w:pPr>
      <w:r>
        <w:rPr>
          <w:rFonts w:ascii="Times New Roman" w:eastAsia="Calibri" w:hAnsi="Times New Roman" w:cs="Times New Roman"/>
          <w:szCs w:val="22"/>
          <w:lang w:eastAsia="es-ES"/>
        </w:rPr>
        <w:t>Gastos ordinarios, derivados del uso diario de la vivienda y destinados al mantenimiento de la mism</w:t>
      </w:r>
      <w:r>
        <w:rPr>
          <w:rFonts w:ascii="Times New Roman" w:eastAsia="Calibri" w:hAnsi="Times New Roman" w:cs="Times New Roman"/>
          <w:szCs w:val="22"/>
          <w:lang w:eastAsia="es-ES"/>
        </w:rPr>
        <w:t>a y de sus condiciones de habitabilidad (zonas privativas) y cualquier otro tipo de reparación ordinaria.</w:t>
      </w:r>
      <w:r>
        <w:rPr>
          <w:rFonts w:ascii="Times New Roman" w:eastAsia="Calibri" w:hAnsi="Times New Roman" w:cs="Times New Roman"/>
          <w:strike/>
          <w:szCs w:val="22"/>
          <w:lang w:eastAsia="es-ES"/>
        </w:rPr>
        <w:t xml:space="preserve"> </w:t>
      </w:r>
      <w:r>
        <w:rPr>
          <w:rFonts w:ascii="Times New Roman" w:eastAsia="Calibri" w:hAnsi="Times New Roman" w:cs="Times New Roman"/>
          <w:szCs w:val="22"/>
          <w:lang w:eastAsia="es-ES"/>
        </w:rPr>
        <w:t xml:space="preserve">  </w:t>
      </w:r>
    </w:p>
    <w:p w14:paraId="4F6FCEEA" w14:textId="77777777" w:rsidR="004E7B20" w:rsidRDefault="00CC7D45">
      <w:pPr>
        <w:pStyle w:val="Standard"/>
        <w:numPr>
          <w:ilvl w:val="0"/>
          <w:numId w:val="29"/>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Medidas necesarias para la prevención de la ocupación ilegítima en las viviendas vacías (vigilancia, puertas antivandálicas).</w:t>
      </w:r>
    </w:p>
    <w:p w14:paraId="0F61B862" w14:textId="77777777" w:rsidR="004E7B20" w:rsidRDefault="00CC7D45">
      <w:pPr>
        <w:pStyle w:val="Standard"/>
        <w:numPr>
          <w:ilvl w:val="0"/>
          <w:numId w:val="29"/>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Gastos propios de ge</w:t>
      </w:r>
      <w:r>
        <w:rPr>
          <w:rFonts w:ascii="Times New Roman" w:eastAsia="Calibri" w:hAnsi="Times New Roman" w:cs="Times New Roman"/>
          <w:szCs w:val="22"/>
          <w:lang w:eastAsia="es-ES"/>
        </w:rPr>
        <w:t xml:space="preserve">stión y administración de las viviendas (contabilidad, representación en comunidades de propietarios, depósito de fianzas si se arrendasen las viviendas, </w:t>
      </w:r>
      <w:proofErr w:type="spellStart"/>
      <w:r>
        <w:rPr>
          <w:rFonts w:ascii="Times New Roman" w:eastAsia="Calibri" w:hAnsi="Times New Roman" w:cs="Times New Roman"/>
          <w:szCs w:val="22"/>
          <w:lang w:eastAsia="es-ES"/>
        </w:rPr>
        <w:t>etc</w:t>
      </w:r>
      <w:proofErr w:type="spellEnd"/>
      <w:r>
        <w:rPr>
          <w:rFonts w:ascii="Times New Roman" w:eastAsia="Calibri" w:hAnsi="Times New Roman" w:cs="Times New Roman"/>
          <w:szCs w:val="22"/>
          <w:lang w:eastAsia="es-ES"/>
        </w:rPr>
        <w:t>).</w:t>
      </w:r>
    </w:p>
    <w:p w14:paraId="32EB451E" w14:textId="77777777" w:rsidR="004E7B20" w:rsidRDefault="00CC7D45">
      <w:pPr>
        <w:pStyle w:val="Standard"/>
        <w:numPr>
          <w:ilvl w:val="0"/>
          <w:numId w:val="29"/>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Cuota del Impuesto sobre Bienes Inmuebles (art. 61.1 c) de TRLRHL), sin perjuicio de la aplicaci</w:t>
      </w:r>
      <w:r>
        <w:rPr>
          <w:rFonts w:ascii="Times New Roman" w:eastAsia="Calibri" w:hAnsi="Times New Roman" w:cs="Times New Roman"/>
          <w:szCs w:val="22"/>
          <w:lang w:eastAsia="es-ES"/>
        </w:rPr>
        <w:t>ón de bonificaciones en la cuota.</w:t>
      </w:r>
    </w:p>
    <w:p w14:paraId="06C76E9D" w14:textId="77777777" w:rsidR="004E7B20" w:rsidRDefault="004E7B20">
      <w:pPr>
        <w:pStyle w:val="Standard"/>
        <w:suppressAutoHyphens w:val="0"/>
        <w:ind w:left="360"/>
        <w:jc w:val="both"/>
        <w:rPr>
          <w:rFonts w:ascii="Times New Roman" w:eastAsia="Calibri" w:hAnsi="Times New Roman" w:cs="Times New Roman"/>
          <w:szCs w:val="22"/>
          <w:lang w:eastAsia="en-US"/>
        </w:rPr>
      </w:pPr>
    </w:p>
    <w:p w14:paraId="2BEB20ED" w14:textId="77777777" w:rsidR="004E7B20" w:rsidRDefault="00CC7D45">
      <w:pPr>
        <w:pStyle w:val="Standard"/>
        <w:suppressAutoHyphens w:val="0"/>
        <w:ind w:left="708"/>
        <w:jc w:val="both"/>
      </w:pPr>
      <w:r>
        <w:rPr>
          <w:rFonts w:ascii="Times New Roman" w:eastAsia="Calibri" w:hAnsi="Times New Roman" w:cs="Times New Roman"/>
          <w:szCs w:val="22"/>
          <w:lang w:eastAsia="es-ES"/>
        </w:rPr>
        <w:t xml:space="preserve">Caso de que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precise hacer obras para adecuación de las viviendas a los fines para los que se ceden, deberá obtener la previa autorización de SAREB, por escrito. A la finalización de la cesión SARE</w:t>
      </w:r>
      <w:r>
        <w:rPr>
          <w:rFonts w:ascii="Times New Roman" w:eastAsia="Calibri" w:hAnsi="Times New Roman" w:cs="Times New Roman"/>
          <w:szCs w:val="22"/>
          <w:lang w:eastAsia="es-ES"/>
        </w:rPr>
        <w:t xml:space="preserve">B podrá razonadamente requerir de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la eliminación a su costa, de todas o parte de esas obras de adecuación.</w:t>
      </w:r>
    </w:p>
    <w:p w14:paraId="765AFE29" w14:textId="77777777" w:rsidR="004E7B20" w:rsidRDefault="004E7B20">
      <w:pPr>
        <w:pStyle w:val="Standard"/>
        <w:suppressAutoHyphens w:val="0"/>
        <w:ind w:left="708"/>
        <w:jc w:val="both"/>
        <w:rPr>
          <w:rFonts w:ascii="Times New Roman" w:eastAsia="Calibri" w:hAnsi="Times New Roman" w:cs="Times New Roman"/>
          <w:szCs w:val="22"/>
          <w:lang w:eastAsia="es-ES"/>
        </w:rPr>
      </w:pPr>
    </w:p>
    <w:p w14:paraId="1BD55179" w14:textId="77777777" w:rsidR="004E7B20" w:rsidRDefault="00CC7D45">
      <w:pPr>
        <w:pStyle w:val="Standard"/>
        <w:suppressAutoHyphens w:val="0"/>
        <w:ind w:left="70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 xml:space="preserve">La asunción de gastos y costes, no autorizados, no dará derecho a ninguna de las partes a repercutirlos a la otra parte o a </w:t>
      </w:r>
      <w:r>
        <w:rPr>
          <w:rFonts w:ascii="Times New Roman" w:eastAsia="Calibri" w:hAnsi="Times New Roman" w:cs="Times New Roman"/>
          <w:szCs w:val="22"/>
          <w:lang w:eastAsia="es-ES"/>
        </w:rPr>
        <w:t>exigir indemnización por ellos a la finalización de la cesión.</w:t>
      </w:r>
    </w:p>
    <w:p w14:paraId="61A35C0E" w14:textId="77777777" w:rsidR="004E7B20" w:rsidRDefault="004E7B20">
      <w:pPr>
        <w:pStyle w:val="Standard"/>
        <w:suppressAutoHyphens w:val="0"/>
        <w:rPr>
          <w:rFonts w:ascii="Times New Roman" w:eastAsia="Calibri" w:hAnsi="Times New Roman" w:cs="Times New Roman"/>
          <w:szCs w:val="22"/>
          <w:lang w:eastAsia="es-ES"/>
        </w:rPr>
      </w:pPr>
    </w:p>
    <w:p w14:paraId="530F81C4" w14:textId="77777777" w:rsidR="004E7B20" w:rsidRDefault="00CC7D45">
      <w:pPr>
        <w:pStyle w:val="Standard"/>
        <w:suppressAutoHyphens w:val="0"/>
        <w:ind w:left="708"/>
        <w:jc w:val="both"/>
      </w:pPr>
      <w:r>
        <w:rPr>
          <w:rFonts w:ascii="Times New Roman" w:eastAsia="Calibri" w:hAnsi="Times New Roman" w:cs="Times New Roman"/>
          <w:szCs w:val="22"/>
          <w:lang w:eastAsia="es-ES"/>
        </w:rPr>
        <w:t xml:space="preserve">En caso de ser necesarias obras de adecuación para habitabilidad,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y SAREB asumirán su coste al 50%, hasta un máximo de 7.000 €/vivienda. De superarse este límite SAREB </w:t>
      </w:r>
      <w:r>
        <w:rPr>
          <w:rFonts w:ascii="Times New Roman" w:eastAsia="Calibri" w:hAnsi="Times New Roman" w:cs="Times New Roman"/>
          <w:szCs w:val="22"/>
          <w:lang w:eastAsia="es-ES"/>
        </w:rPr>
        <w:t>podrá optar por dejar la vivienda fuera del alcance del presente convenio.</w:t>
      </w:r>
    </w:p>
    <w:p w14:paraId="14F21FA3" w14:textId="77777777" w:rsidR="004E7B20" w:rsidRDefault="004E7B20">
      <w:pPr>
        <w:pStyle w:val="Standard"/>
        <w:suppressAutoHyphens w:val="0"/>
        <w:ind w:left="708"/>
        <w:jc w:val="both"/>
        <w:rPr>
          <w:rFonts w:ascii="Times New Roman" w:eastAsia="Calibri" w:hAnsi="Times New Roman" w:cs="Times New Roman"/>
          <w:szCs w:val="22"/>
          <w:lang w:eastAsia="es-ES"/>
        </w:rPr>
      </w:pPr>
    </w:p>
    <w:p w14:paraId="27B4651E" w14:textId="77777777" w:rsidR="004E7B20" w:rsidRDefault="00CC7D45">
      <w:pPr>
        <w:pStyle w:val="Standard"/>
        <w:suppressAutoHyphens w:val="0"/>
        <w:ind w:left="708"/>
        <w:jc w:val="both"/>
      </w:pPr>
      <w:r>
        <w:rPr>
          <w:rFonts w:ascii="Times New Roman" w:eastAsia="Calibri" w:hAnsi="Times New Roman" w:cs="Times New Roman"/>
          <w:szCs w:val="22"/>
          <w:lang w:eastAsia="es-ES"/>
        </w:rPr>
        <w:t xml:space="preserve">Asimismo,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en el caso de que los costes de adecuación para habitabilidad excedan de 7.000 €, podrá solicitar a SAREB la sustitución de las viviendas en cues</w:t>
      </w:r>
      <w:r>
        <w:rPr>
          <w:rFonts w:ascii="Times New Roman" w:eastAsia="Calibri" w:hAnsi="Times New Roman" w:cs="Times New Roman"/>
          <w:szCs w:val="22"/>
          <w:lang w:eastAsia="es-ES"/>
        </w:rPr>
        <w:t>tión. SAREB las otorgará en la medida en que disponga de viviendas sustitutivas.</w:t>
      </w:r>
    </w:p>
    <w:p w14:paraId="4E97EC84" w14:textId="77777777" w:rsidR="004E7B20" w:rsidRDefault="004E7B20">
      <w:pPr>
        <w:pStyle w:val="Standard"/>
        <w:suppressAutoHyphens w:val="0"/>
        <w:ind w:left="708"/>
        <w:jc w:val="both"/>
        <w:rPr>
          <w:rFonts w:ascii="Times New Roman" w:eastAsia="Calibri" w:hAnsi="Times New Roman" w:cs="Times New Roman"/>
          <w:szCs w:val="22"/>
          <w:lang w:eastAsia="es-ES"/>
        </w:rPr>
      </w:pPr>
    </w:p>
    <w:p w14:paraId="35595BC5" w14:textId="77777777" w:rsidR="004E7B20" w:rsidRDefault="00CC7D45">
      <w:pPr>
        <w:pStyle w:val="Standard"/>
        <w:suppressAutoHyphens w:val="0"/>
        <w:ind w:left="708"/>
        <w:jc w:val="both"/>
      </w:pPr>
      <w:r>
        <w:rPr>
          <w:rFonts w:ascii="Times New Roman" w:eastAsia="Calibri" w:hAnsi="Times New Roman" w:cs="Times New Roman"/>
          <w:szCs w:val="22"/>
          <w:lang w:eastAsia="es-ES"/>
        </w:rPr>
        <w:t xml:space="preserve">Los suministros de luz, agua y gas serán dados de alta por las personas arrendatarias de las viviendas o, en su caso, por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Los consumos de </w:t>
      </w:r>
      <w:r>
        <w:rPr>
          <w:rFonts w:ascii="Times New Roman" w:eastAsia="Calibri" w:hAnsi="Times New Roman" w:cs="Times New Roman"/>
          <w:szCs w:val="22"/>
          <w:lang w:eastAsia="es-ES"/>
        </w:rPr>
        <w:t>suministros deberán ser asumidos por los arrendatarios.</w:t>
      </w:r>
    </w:p>
    <w:p w14:paraId="402269E9" w14:textId="77777777" w:rsidR="004E7B20" w:rsidRDefault="004E7B20">
      <w:pPr>
        <w:pStyle w:val="Standard"/>
        <w:suppressAutoHyphens w:val="0"/>
        <w:ind w:left="360"/>
        <w:jc w:val="both"/>
        <w:rPr>
          <w:rFonts w:ascii="Times New Roman" w:eastAsia="Calibri" w:hAnsi="Times New Roman" w:cs="Times New Roman"/>
          <w:szCs w:val="22"/>
          <w:lang w:eastAsia="es-ES"/>
        </w:rPr>
      </w:pPr>
    </w:p>
    <w:p w14:paraId="0345E537" w14:textId="77777777" w:rsidR="004E7B20" w:rsidRDefault="00CC7D45">
      <w:pPr>
        <w:pStyle w:val="Standard"/>
        <w:numPr>
          <w:ilvl w:val="1"/>
          <w:numId w:val="31"/>
        </w:numPr>
        <w:suppressAutoHyphens w:val="0"/>
        <w:jc w:val="both"/>
      </w:pPr>
      <w:r>
        <w:rPr>
          <w:rFonts w:ascii="Times New Roman" w:eastAsia="Calibri" w:hAnsi="Times New Roman" w:cs="Times New Roman"/>
          <w:szCs w:val="22"/>
          <w:lang w:eastAsia="es-ES"/>
        </w:rPr>
        <w:t xml:space="preserve">El contrato de cesión tendrá una duración de cuatro años, al término de los cuales,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garantiza que las viviendas serán devueltas a SAREB vacías, o con contrato de alquiler en vigor y al corriente de pago y en adecuadas condiciones de habitabilidad, sin perjuicio del normal deterioro por el uso, de modo que SAREB pueda tomar plena posesión</w:t>
      </w:r>
      <w:r>
        <w:rPr>
          <w:rFonts w:ascii="Times New Roman" w:eastAsia="Calibri" w:hAnsi="Times New Roman" w:cs="Times New Roman"/>
          <w:szCs w:val="22"/>
          <w:lang w:eastAsia="es-ES"/>
        </w:rPr>
        <w:t xml:space="preserve"> de las mismas.</w:t>
      </w:r>
    </w:p>
    <w:p w14:paraId="2B773318" w14:textId="77777777" w:rsidR="004E7B20" w:rsidRDefault="004E7B20">
      <w:pPr>
        <w:pStyle w:val="Standard"/>
        <w:suppressAutoHyphens w:val="0"/>
        <w:jc w:val="both"/>
        <w:rPr>
          <w:rFonts w:ascii="Times New Roman" w:eastAsia="Calibri" w:hAnsi="Times New Roman" w:cs="Times New Roman"/>
          <w:szCs w:val="22"/>
          <w:lang w:eastAsia="es-ES"/>
        </w:rPr>
      </w:pPr>
    </w:p>
    <w:p w14:paraId="16EFD778" w14:textId="77777777" w:rsidR="004E7B20" w:rsidRDefault="00CC7D45">
      <w:pPr>
        <w:pStyle w:val="Standard"/>
        <w:numPr>
          <w:ilvl w:val="1"/>
          <w:numId w:val="31"/>
        </w:numPr>
        <w:suppressAutoHyphens w:val="0"/>
        <w:jc w:val="both"/>
      </w:pP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se compromete a informar a SAREB con periodicidad trimestral de la situación de todos los inmuebles cedidos en lo referente a su destino para los fines a para los que se cedieron las viviendas, incluida la efectiva</w:t>
      </w:r>
      <w:r>
        <w:rPr>
          <w:rFonts w:ascii="Times New Roman" w:eastAsia="Calibri" w:hAnsi="Times New Roman" w:cs="Times New Roman"/>
          <w:szCs w:val="22"/>
          <w:lang w:eastAsia="es-ES"/>
        </w:rPr>
        <w:t xml:space="preserve"> ocupación de las mismas, tasas de mora, altas necesarias, ingresos por alquileres y cualesquiera otros detalles que la Comisión de Seguimiento de este Convenio considere oportuno incluir.</w:t>
      </w:r>
    </w:p>
    <w:p w14:paraId="0A29E679" w14:textId="77777777" w:rsidR="004E7B20" w:rsidRDefault="004E7B20">
      <w:pPr>
        <w:pStyle w:val="Standard"/>
        <w:suppressAutoHyphens w:val="0"/>
        <w:rPr>
          <w:rFonts w:ascii="Times New Roman" w:eastAsia="Calibri" w:hAnsi="Times New Roman" w:cs="Times New Roman"/>
          <w:szCs w:val="22"/>
          <w:lang w:eastAsia="es-ES"/>
        </w:rPr>
      </w:pPr>
    </w:p>
    <w:p w14:paraId="047B5533" w14:textId="77777777" w:rsidR="004E7B20" w:rsidRDefault="00CC7D45">
      <w:pPr>
        <w:pStyle w:val="Standard"/>
        <w:numPr>
          <w:ilvl w:val="1"/>
          <w:numId w:val="31"/>
        </w:numPr>
        <w:suppressAutoHyphens w:val="0"/>
        <w:jc w:val="both"/>
      </w:pPr>
      <w:r>
        <w:rPr>
          <w:rFonts w:ascii="Times New Roman" w:eastAsia="Calibri" w:hAnsi="Times New Roman" w:cs="Times New Roman"/>
          <w:szCs w:val="22"/>
          <w:lang w:eastAsia="es-ES"/>
        </w:rPr>
        <w:t>En el caso de que la cesión en usufructo se efectúe en forma escal</w:t>
      </w:r>
      <w:r>
        <w:rPr>
          <w:rFonts w:ascii="Times New Roman" w:eastAsia="Calibri" w:hAnsi="Times New Roman" w:cs="Times New Roman"/>
          <w:szCs w:val="22"/>
          <w:lang w:eastAsia="es-ES"/>
        </w:rPr>
        <w:t>onada, los contratos de cesión del usufructo, se firmarán en un plazo total no superior a seis</w:t>
      </w:r>
      <w:r>
        <w:rPr>
          <w:rFonts w:ascii="Times New Roman" w:eastAsia="Calibri" w:hAnsi="Times New Roman" w:cs="Times New Roman"/>
          <w:i/>
          <w:szCs w:val="22"/>
          <w:lang w:eastAsia="es-ES"/>
        </w:rPr>
        <w:t xml:space="preserve"> </w:t>
      </w:r>
      <w:r>
        <w:rPr>
          <w:rFonts w:ascii="Times New Roman" w:eastAsia="Calibri" w:hAnsi="Times New Roman" w:cs="Times New Roman"/>
          <w:szCs w:val="22"/>
          <w:lang w:eastAsia="es-ES"/>
        </w:rPr>
        <w:t>meses. El número de viviendas incluidas en cada fase quedará a discreción de SAREB.</w:t>
      </w:r>
    </w:p>
    <w:p w14:paraId="0A804392" w14:textId="77777777" w:rsidR="004E7B20" w:rsidRDefault="004E7B20">
      <w:pPr>
        <w:pStyle w:val="Standard"/>
        <w:suppressAutoHyphens w:val="0"/>
        <w:ind w:left="720"/>
        <w:rPr>
          <w:rFonts w:ascii="Times New Roman" w:eastAsia="Calibri" w:hAnsi="Times New Roman" w:cs="Times New Roman"/>
          <w:szCs w:val="22"/>
          <w:lang w:eastAsia="es-ES"/>
        </w:rPr>
      </w:pPr>
    </w:p>
    <w:p w14:paraId="75ACFACC" w14:textId="77777777" w:rsidR="004E7B20" w:rsidRDefault="00CC7D45">
      <w:pPr>
        <w:pStyle w:val="Standard"/>
        <w:numPr>
          <w:ilvl w:val="1"/>
          <w:numId w:val="31"/>
        </w:numPr>
        <w:suppressAutoHyphens w:val="0"/>
        <w:jc w:val="both"/>
      </w:pPr>
      <w:r>
        <w:rPr>
          <w:rFonts w:ascii="Times New Roman" w:eastAsia="Calibri" w:hAnsi="Times New Roman" w:cs="Times New Roman"/>
          <w:szCs w:val="22"/>
          <w:lang w:eastAsia="es-ES"/>
        </w:rPr>
        <w:t>Respecto de aquellas viviendas destinadas a arrendamiento, en el supuesto de</w:t>
      </w:r>
      <w:r>
        <w:rPr>
          <w:rFonts w:ascii="Times New Roman" w:eastAsia="Calibri" w:hAnsi="Times New Roman" w:cs="Times New Roman"/>
          <w:szCs w:val="22"/>
          <w:lang w:eastAsia="es-ES"/>
        </w:rPr>
        <w:t xml:space="preserve"> que los arrendatarios de las mismas desistan del contrato, y siempre y cuando se produzca la entrega física de las llaves y de la posesión efectiva del inmueble durante la vigencia del Convenio,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pondrá en conocimiento de SAREB dic</w:t>
      </w:r>
      <w:r>
        <w:rPr>
          <w:rFonts w:ascii="Times New Roman" w:eastAsia="Calibri" w:hAnsi="Times New Roman" w:cs="Times New Roman"/>
          <w:szCs w:val="22"/>
          <w:lang w:eastAsia="es-ES"/>
        </w:rPr>
        <w:t>hos hechos, siendo opción de SAREB recuperar la vivienda vacía o autorizar la formalización de un nuevo contrato de alquiler con terceras personas, no operando en este caso la carencia de 3 meses para el pago de la contraprestación.</w:t>
      </w:r>
    </w:p>
    <w:p w14:paraId="081E5E3F" w14:textId="77777777" w:rsidR="004E7B20" w:rsidRDefault="004E7B20">
      <w:pPr>
        <w:pStyle w:val="Standard"/>
        <w:suppressAutoHyphens w:val="0"/>
        <w:jc w:val="both"/>
        <w:rPr>
          <w:rFonts w:ascii="Times New Roman" w:eastAsia="Calibri" w:hAnsi="Times New Roman" w:cs="Times New Roman"/>
          <w:szCs w:val="22"/>
          <w:lang w:eastAsia="es-ES"/>
        </w:rPr>
      </w:pPr>
    </w:p>
    <w:p w14:paraId="10124D5D" w14:textId="77777777" w:rsidR="004E7B20" w:rsidRDefault="00CC7D45">
      <w:pPr>
        <w:pStyle w:val="Standard"/>
        <w:suppressAutoHyphens w:val="0"/>
        <w:jc w:val="both"/>
      </w:pPr>
      <w:r>
        <w:rPr>
          <w:rFonts w:ascii="Times New Roman" w:eastAsia="Calibri" w:hAnsi="Times New Roman" w:cs="Times New Roman"/>
          <w:b/>
          <w:bCs/>
          <w:szCs w:val="22"/>
          <w:lang w:val="sv-SE" w:eastAsia="es-ES"/>
        </w:rPr>
        <w:t xml:space="preserve">Tercera.-Uso </w:t>
      </w:r>
      <w:r>
        <w:rPr>
          <w:rFonts w:ascii="Times New Roman" w:eastAsia="Calibri" w:hAnsi="Times New Roman" w:cs="Times New Roman"/>
          <w:b/>
          <w:bCs/>
          <w:szCs w:val="22"/>
          <w:lang w:eastAsia="es-ES"/>
        </w:rPr>
        <w:t>de las vi</w:t>
      </w:r>
      <w:r>
        <w:rPr>
          <w:rFonts w:ascii="Times New Roman" w:eastAsia="Calibri" w:hAnsi="Times New Roman" w:cs="Times New Roman"/>
          <w:b/>
          <w:bCs/>
          <w:szCs w:val="22"/>
          <w:lang w:eastAsia="es-ES"/>
        </w:rPr>
        <w:t>viendas cedidas</w:t>
      </w:r>
    </w:p>
    <w:p w14:paraId="292E9E49" w14:textId="77777777" w:rsidR="004E7B20" w:rsidRDefault="004E7B20">
      <w:pPr>
        <w:pStyle w:val="Standard"/>
        <w:suppressAutoHyphens w:val="0"/>
        <w:jc w:val="both"/>
        <w:rPr>
          <w:rFonts w:ascii="Times New Roman" w:eastAsia="Calibri" w:hAnsi="Times New Roman" w:cs="Times New Roman"/>
          <w:b/>
          <w:bCs/>
          <w:szCs w:val="22"/>
          <w:lang w:eastAsia="es-ES"/>
        </w:rPr>
      </w:pPr>
    </w:p>
    <w:p w14:paraId="7C7B2484" w14:textId="77777777" w:rsidR="004E7B20" w:rsidRDefault="00CC7D45">
      <w:pPr>
        <w:pStyle w:val="Standard"/>
        <w:numPr>
          <w:ilvl w:val="1"/>
          <w:numId w:val="25"/>
        </w:numPr>
        <w:suppressAutoHyphens w:val="0"/>
        <w:ind w:left="567" w:hanging="567"/>
        <w:jc w:val="both"/>
      </w:pPr>
      <w:r>
        <w:rPr>
          <w:rFonts w:ascii="Times New Roman" w:eastAsia="Calibri" w:hAnsi="Times New Roman" w:cs="Times New Roman"/>
          <w:szCs w:val="22"/>
          <w:lang w:eastAsia="es-ES"/>
        </w:rPr>
        <w:t xml:space="preserve">SAREB consiente que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destine las viviendas cedidas para su alquiler a particulares, personas físicas que cumplan las condiciones de necesidad social establecidas en la normativa aplicable, el presente Convenio y de </w:t>
      </w:r>
      <w:r>
        <w:rPr>
          <w:rFonts w:ascii="Times New Roman" w:eastAsia="Calibri" w:hAnsi="Times New Roman" w:cs="Times New Roman"/>
          <w:szCs w:val="22"/>
          <w:lang w:eastAsia="es-ES"/>
        </w:rPr>
        <w:t xml:space="preserve">conformidad con los programas sociales que en cada momento tenga en marcha el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w:t>
      </w:r>
    </w:p>
    <w:p w14:paraId="1B34DF88" w14:textId="77777777" w:rsidR="004E7B20" w:rsidRDefault="004E7B20">
      <w:pPr>
        <w:pStyle w:val="Standard"/>
        <w:suppressAutoHyphens w:val="0"/>
        <w:ind w:left="567"/>
        <w:jc w:val="both"/>
        <w:rPr>
          <w:rFonts w:ascii="Times New Roman" w:eastAsia="Calibri" w:hAnsi="Times New Roman" w:cs="Times New Roman"/>
          <w:szCs w:val="22"/>
          <w:lang w:eastAsia="es-ES"/>
        </w:rPr>
      </w:pPr>
    </w:p>
    <w:p w14:paraId="56701662" w14:textId="77777777" w:rsidR="004E7B20" w:rsidRDefault="00CC7D45">
      <w:pPr>
        <w:pStyle w:val="Standard"/>
        <w:suppressAutoHyphens w:val="0"/>
        <w:ind w:left="567"/>
        <w:jc w:val="both"/>
      </w:pP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podrá alquilar la vivienda a precios asequibles a las personas físicas que cumplan con dichos requisitos, o bien podrá cederlas </w:t>
      </w:r>
      <w:r>
        <w:rPr>
          <w:rFonts w:ascii="Times New Roman" w:eastAsia="Calibri" w:hAnsi="Times New Roman" w:cs="Times New Roman"/>
          <w:szCs w:val="22"/>
          <w:lang w:eastAsia="es-ES"/>
        </w:rPr>
        <w:t xml:space="preserve">de forma gratuita en casos de emergencia social, pero en ambos supuestos se abonará de igual modo, a SAREB, la contraprestación económica pactada.   </w:t>
      </w:r>
    </w:p>
    <w:p w14:paraId="25178D5D" w14:textId="77777777" w:rsidR="004E7B20" w:rsidRDefault="004E7B20">
      <w:pPr>
        <w:pStyle w:val="Standard"/>
        <w:suppressAutoHyphens w:val="0"/>
        <w:ind w:left="567"/>
        <w:jc w:val="both"/>
        <w:rPr>
          <w:rFonts w:ascii="Times New Roman" w:eastAsia="Calibri" w:hAnsi="Times New Roman" w:cs="Times New Roman"/>
          <w:szCs w:val="22"/>
          <w:lang w:eastAsia="es-ES"/>
        </w:rPr>
      </w:pPr>
    </w:p>
    <w:p w14:paraId="1396E182" w14:textId="77777777" w:rsidR="004E7B20" w:rsidRDefault="00CC7D45">
      <w:pPr>
        <w:pStyle w:val="Standard"/>
        <w:numPr>
          <w:ilvl w:val="1"/>
          <w:numId w:val="25"/>
        </w:numPr>
        <w:suppressAutoHyphens w:val="0"/>
        <w:ind w:left="567" w:hanging="567"/>
        <w:jc w:val="both"/>
      </w:pP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seleccionará a los Beneficiarios con arreglo a criterios de necesidad social, esta</w:t>
      </w:r>
      <w:r>
        <w:rPr>
          <w:rFonts w:ascii="Times New Roman" w:eastAsia="Calibri" w:hAnsi="Times New Roman" w:cs="Times New Roman"/>
          <w:szCs w:val="22"/>
          <w:lang w:eastAsia="es-ES"/>
        </w:rPr>
        <w:t>blecidos en el marco de sus programas sociales, pero asimismo considerando la idoneidad de los Beneficiarios para garantizar el adecuado uso y disfrute de las viviendas, con pleno respeto a normativa incluida en las Normas de Comunidad (y Estatuto de Régim</w:t>
      </w:r>
      <w:r>
        <w:rPr>
          <w:rFonts w:ascii="Times New Roman" w:eastAsia="Calibri" w:hAnsi="Times New Roman" w:cs="Times New Roman"/>
          <w:szCs w:val="22"/>
          <w:lang w:eastAsia="es-ES"/>
        </w:rPr>
        <w:t>en Interior, en su caso).</w:t>
      </w:r>
    </w:p>
    <w:p w14:paraId="1E55FEF6" w14:textId="77777777" w:rsidR="004E7B20" w:rsidRDefault="004E7B20">
      <w:pPr>
        <w:pStyle w:val="Standard"/>
        <w:suppressAutoHyphens w:val="0"/>
        <w:ind w:left="567"/>
        <w:jc w:val="both"/>
        <w:rPr>
          <w:rFonts w:ascii="Times New Roman" w:eastAsia="Calibri" w:hAnsi="Times New Roman" w:cs="Times New Roman"/>
          <w:szCs w:val="22"/>
          <w:lang w:eastAsia="es-ES"/>
        </w:rPr>
      </w:pPr>
    </w:p>
    <w:p w14:paraId="6422E8D3" w14:textId="77777777" w:rsidR="004E7B20" w:rsidRDefault="00CC7D45">
      <w:pPr>
        <w:pStyle w:val="Standard"/>
        <w:numPr>
          <w:ilvl w:val="1"/>
          <w:numId w:val="25"/>
        </w:numPr>
        <w:suppressAutoHyphens w:val="0"/>
        <w:ind w:left="567" w:hanging="567"/>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Corresponderá a SAREB seleccionar las viviendas que serán ofrecidas en régimen de cesión de usufructo, de modo que no se ponga en cuestión el cumplimiento de los mandatos legales a los que esté sujeta.</w:t>
      </w:r>
    </w:p>
    <w:p w14:paraId="2A4ACF1B" w14:textId="77777777" w:rsidR="004E7B20" w:rsidRDefault="004E7B20">
      <w:pPr>
        <w:pStyle w:val="Standard"/>
        <w:suppressAutoHyphens w:val="0"/>
        <w:ind w:left="720"/>
        <w:rPr>
          <w:rFonts w:ascii="Times New Roman" w:eastAsia="Calibri" w:hAnsi="Times New Roman" w:cs="Times New Roman"/>
          <w:szCs w:val="22"/>
          <w:lang w:eastAsia="es-ES"/>
        </w:rPr>
      </w:pPr>
    </w:p>
    <w:p w14:paraId="12F7FA3B" w14:textId="77777777" w:rsidR="004E7B20" w:rsidRDefault="00CC7D45">
      <w:pPr>
        <w:pStyle w:val="Standard"/>
        <w:numPr>
          <w:ilvl w:val="1"/>
          <w:numId w:val="25"/>
        </w:numPr>
        <w:suppressAutoHyphens w:val="0"/>
        <w:ind w:left="567" w:hanging="567"/>
        <w:jc w:val="both"/>
      </w:pPr>
      <w:r>
        <w:rPr>
          <w:rFonts w:ascii="Times New Roman" w:eastAsia="Calibri" w:hAnsi="Times New Roman" w:cs="Times New Roman"/>
          <w:szCs w:val="22"/>
          <w:lang w:eastAsia="es-ES"/>
        </w:rPr>
        <w:t xml:space="preserve">SAREB cederá las </w:t>
      </w:r>
      <w:r>
        <w:rPr>
          <w:rFonts w:ascii="Times New Roman" w:eastAsia="Calibri" w:hAnsi="Times New Roman" w:cs="Times New Roman"/>
          <w:szCs w:val="22"/>
          <w:lang w:eastAsia="es-ES"/>
        </w:rPr>
        <w:t xml:space="preserve">viviendas en el estado de habitabilidad en que le fueron traspasadas, siendo cuenta y cargo de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la inspección de las mismas y la determinación y ejecución de los trabajos de adecuación para que reúnan los requerimientos para ser dedi</w:t>
      </w:r>
      <w:r>
        <w:rPr>
          <w:rFonts w:ascii="Times New Roman" w:eastAsia="Calibri" w:hAnsi="Times New Roman" w:cs="Times New Roman"/>
          <w:szCs w:val="22"/>
          <w:lang w:eastAsia="es-ES"/>
        </w:rPr>
        <w:t>cadas a los fines para los que se ceden.</w:t>
      </w:r>
    </w:p>
    <w:p w14:paraId="4E475E7B" w14:textId="77777777" w:rsidR="004E7B20" w:rsidRDefault="004E7B20">
      <w:pPr>
        <w:pStyle w:val="Standard"/>
        <w:suppressAutoHyphens w:val="0"/>
        <w:ind w:left="567"/>
        <w:jc w:val="both"/>
        <w:rPr>
          <w:rFonts w:ascii="Times New Roman" w:eastAsia="Calibri" w:hAnsi="Times New Roman" w:cs="Times New Roman"/>
          <w:szCs w:val="22"/>
          <w:lang w:eastAsia="es-ES"/>
        </w:rPr>
      </w:pPr>
    </w:p>
    <w:p w14:paraId="2300859A" w14:textId="77777777" w:rsidR="004E7B20" w:rsidRDefault="00CC7D45">
      <w:pPr>
        <w:pStyle w:val="Standard"/>
        <w:numPr>
          <w:ilvl w:val="1"/>
          <w:numId w:val="25"/>
        </w:numPr>
        <w:suppressAutoHyphens w:val="0"/>
        <w:ind w:left="567" w:hanging="567"/>
        <w:jc w:val="both"/>
      </w:pPr>
      <w:r>
        <w:rPr>
          <w:rFonts w:ascii="Times New Roman" w:eastAsia="Calibri" w:hAnsi="Times New Roman" w:cs="Times New Roman"/>
          <w:szCs w:val="22"/>
          <w:lang w:eastAsia="es-ES"/>
        </w:rPr>
        <w:t xml:space="preserve">Las viviendas ocupadas propuestas para su cesión serán revisadas, una vez cedidas por SAREB, por parte de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para determinar la situación social de los ocupantes y su posibilidad de regulariz</w:t>
      </w:r>
      <w:r>
        <w:rPr>
          <w:rFonts w:ascii="Times New Roman" w:eastAsia="Calibri" w:hAnsi="Times New Roman" w:cs="Times New Roman"/>
          <w:szCs w:val="22"/>
          <w:lang w:eastAsia="es-ES"/>
        </w:rPr>
        <w:t xml:space="preserve">ar su situación en forma de arrendamiento de los descritos en el presente Convenio. De los resultados de esta revisión, </w:t>
      </w:r>
      <w:r>
        <w:rPr>
          <w:rFonts w:ascii="Times New Roman" w:eastAsia="Calibri" w:hAnsi="Times New Roman" w:cs="Times New Roman"/>
          <w:szCs w:val="22"/>
          <w:shd w:val="clear" w:color="auto" w:fill="C0C0C0"/>
          <w:lang w:eastAsia="es-ES"/>
        </w:rPr>
        <w:t>[insertar Ayuntamiento]</w:t>
      </w:r>
      <w:r>
        <w:rPr>
          <w:rFonts w:ascii="Times New Roman" w:eastAsia="Calibri" w:hAnsi="Times New Roman" w:cs="Times New Roman"/>
          <w:szCs w:val="22"/>
          <w:lang w:eastAsia="es-ES"/>
        </w:rPr>
        <w:t xml:space="preserve"> dará cuenta a SAREB por medio de un informe escrito.</w:t>
      </w:r>
    </w:p>
    <w:p w14:paraId="66123484" w14:textId="77777777" w:rsidR="004E7B20" w:rsidRDefault="004E7B20">
      <w:pPr>
        <w:pStyle w:val="Standard"/>
        <w:suppressAutoHyphens w:val="0"/>
        <w:jc w:val="both"/>
        <w:rPr>
          <w:rFonts w:ascii="Times New Roman" w:eastAsia="Calibri" w:hAnsi="Times New Roman" w:cs="Times New Roman"/>
          <w:szCs w:val="22"/>
          <w:lang w:eastAsia="es-ES"/>
        </w:rPr>
      </w:pPr>
    </w:p>
    <w:p w14:paraId="6375A868" w14:textId="77777777" w:rsidR="004E7B20" w:rsidRDefault="00CC7D45">
      <w:pPr>
        <w:pStyle w:val="Standard"/>
        <w:numPr>
          <w:ilvl w:val="1"/>
          <w:numId w:val="25"/>
        </w:numPr>
        <w:suppressAutoHyphens w:val="0"/>
        <w:ind w:left="567" w:hanging="567"/>
        <w:jc w:val="both"/>
      </w:pPr>
      <w:r>
        <w:rPr>
          <w:rFonts w:ascii="Times New Roman" w:eastAsia="Calibri" w:hAnsi="Times New Roman" w:cs="Times New Roman"/>
          <w:szCs w:val="22"/>
          <w:lang w:eastAsia="es-ES"/>
        </w:rPr>
        <w:t xml:space="preserve">Durante la vigencia del Convenio, </w:t>
      </w:r>
      <w:r>
        <w:rPr>
          <w:rFonts w:ascii="Times New Roman" w:eastAsia="Calibri" w:hAnsi="Times New Roman" w:cs="Times New Roman"/>
          <w:szCs w:val="22"/>
          <w:shd w:val="clear" w:color="auto" w:fill="C0C0C0"/>
          <w:lang w:eastAsia="es-ES"/>
        </w:rPr>
        <w:t xml:space="preserve">[insertar </w:t>
      </w:r>
      <w:r>
        <w:rPr>
          <w:rFonts w:ascii="Times New Roman" w:eastAsia="Calibri" w:hAnsi="Times New Roman" w:cs="Times New Roman"/>
          <w:szCs w:val="22"/>
          <w:shd w:val="clear" w:color="auto" w:fill="C0C0C0"/>
          <w:lang w:eastAsia="es-ES"/>
        </w:rPr>
        <w:t>Ayuntamiento]</w:t>
      </w:r>
      <w:r>
        <w:rPr>
          <w:rFonts w:ascii="Times New Roman" w:eastAsia="Calibri" w:hAnsi="Times New Roman" w:cs="Times New Roman"/>
          <w:szCs w:val="22"/>
          <w:lang w:eastAsia="es-ES"/>
        </w:rPr>
        <w:t xml:space="preserve"> inspeccionará y controlará el estado posesorio o de ocupación de las viviendas, comprobando asimismo que los beneficiarios hacen un uso adecuado de las mismas, que se encuentren al corriente en el abono de las rentas, atenderá al mantenimient</w:t>
      </w:r>
      <w:r>
        <w:rPr>
          <w:rFonts w:ascii="Times New Roman" w:eastAsia="Calibri" w:hAnsi="Times New Roman" w:cs="Times New Roman"/>
          <w:szCs w:val="22"/>
          <w:lang w:eastAsia="es-ES"/>
        </w:rPr>
        <w:t xml:space="preserve">o de las condiciones de habitabilidad, e instará, en los casos en que proceda, cualquier actuación pertinente para garantizar el adecuado uso de las viviendas por sus beneficiarios y la recuperación de la posesión de las mismas por SAREB a la extinción de </w:t>
      </w:r>
      <w:r>
        <w:rPr>
          <w:rFonts w:ascii="Times New Roman" w:eastAsia="Calibri" w:hAnsi="Times New Roman" w:cs="Times New Roman"/>
          <w:szCs w:val="22"/>
          <w:lang w:eastAsia="es-ES"/>
        </w:rPr>
        <w:t>la cesión.</w:t>
      </w:r>
    </w:p>
    <w:p w14:paraId="33CA92AC" w14:textId="77777777" w:rsidR="004E7B20" w:rsidRDefault="004E7B20">
      <w:pPr>
        <w:pStyle w:val="Standard"/>
        <w:suppressAutoHyphens w:val="0"/>
        <w:rPr>
          <w:rFonts w:ascii="Times New Roman" w:eastAsia="Calibri" w:hAnsi="Times New Roman" w:cs="Times New Roman"/>
          <w:szCs w:val="22"/>
          <w:lang w:eastAsia="es-ES"/>
        </w:rPr>
      </w:pPr>
    </w:p>
    <w:p w14:paraId="7D6991BE" w14:textId="77777777" w:rsidR="004E7B20" w:rsidRDefault="004E7B20">
      <w:pPr>
        <w:pStyle w:val="Standard"/>
        <w:suppressAutoHyphens w:val="0"/>
        <w:jc w:val="both"/>
        <w:rPr>
          <w:rFonts w:ascii="Times New Roman" w:eastAsia="Calibri" w:hAnsi="Times New Roman" w:cs="Times New Roman"/>
          <w:szCs w:val="22"/>
          <w:lang w:eastAsia="es-ES"/>
        </w:rPr>
      </w:pPr>
    </w:p>
    <w:p w14:paraId="56092E3E" w14:textId="77777777" w:rsidR="004E7B20" w:rsidRDefault="00CC7D45">
      <w:pPr>
        <w:pStyle w:val="Standard"/>
        <w:suppressAutoHyphens w:val="0"/>
        <w:jc w:val="both"/>
        <w:rPr>
          <w:rFonts w:ascii="Times New Roman" w:eastAsia="Calibri" w:hAnsi="Times New Roman" w:cs="Times New Roman"/>
          <w:b/>
          <w:bCs/>
          <w:szCs w:val="22"/>
          <w:lang w:val="sv-SE" w:eastAsia="es-ES"/>
        </w:rPr>
      </w:pPr>
      <w:r>
        <w:rPr>
          <w:rFonts w:ascii="Times New Roman" w:eastAsia="Calibri" w:hAnsi="Times New Roman" w:cs="Times New Roman"/>
          <w:b/>
          <w:bCs/>
          <w:szCs w:val="22"/>
          <w:lang w:val="sv-SE" w:eastAsia="es-ES"/>
        </w:rPr>
        <w:t>Cuarta.- Comisión de Seguimiento</w:t>
      </w:r>
    </w:p>
    <w:p w14:paraId="393FE30E" w14:textId="77777777" w:rsidR="004E7B20" w:rsidRDefault="004E7B20">
      <w:pPr>
        <w:pStyle w:val="Standard"/>
        <w:suppressAutoHyphens w:val="0"/>
        <w:ind w:left="360"/>
        <w:jc w:val="both"/>
        <w:rPr>
          <w:rFonts w:ascii="Times New Roman" w:eastAsia="Calibri" w:hAnsi="Times New Roman" w:cs="Times New Roman"/>
          <w:szCs w:val="22"/>
          <w:lang w:eastAsia="es-ES"/>
        </w:rPr>
      </w:pPr>
    </w:p>
    <w:p w14:paraId="62F66474" w14:textId="77777777" w:rsidR="004E7B20" w:rsidRDefault="00CC7D45">
      <w:pPr>
        <w:pStyle w:val="Standard"/>
        <w:numPr>
          <w:ilvl w:val="1"/>
          <w:numId w:val="28"/>
        </w:numPr>
        <w:suppressAutoHyphens w:val="0"/>
        <w:ind w:left="624" w:hanging="624"/>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Se constituye una Comisión de Seguimiento, integrada como mínimo por dos representantes de cada una de las partes del presente convenio. Esta Comisión se reunirá a petición de cualquiera de ambas partes y, al</w:t>
      </w:r>
      <w:r>
        <w:rPr>
          <w:rFonts w:ascii="Times New Roman" w:eastAsia="Calibri" w:hAnsi="Times New Roman" w:cs="Times New Roman"/>
          <w:szCs w:val="22"/>
          <w:lang w:eastAsia="es-ES"/>
        </w:rPr>
        <w:t xml:space="preserve"> menos dos veces al año, semestralmente. El lugar de celebración de las reuniones será, de manera alternativa, la sede de cada una de las partes de este convenio. Ante una petición de reunión por escrito de una de las partes, esta deberá producirse en un p</w:t>
      </w:r>
      <w:r>
        <w:rPr>
          <w:rFonts w:ascii="Times New Roman" w:eastAsia="Calibri" w:hAnsi="Times New Roman" w:cs="Times New Roman"/>
          <w:szCs w:val="22"/>
          <w:lang w:eastAsia="es-ES"/>
        </w:rPr>
        <w:t>lazo no superior a 15 días naturales.</w:t>
      </w:r>
    </w:p>
    <w:p w14:paraId="2178A436" w14:textId="77777777" w:rsidR="004E7B20" w:rsidRDefault="004E7B20">
      <w:pPr>
        <w:pStyle w:val="Standard"/>
        <w:suppressAutoHyphens w:val="0"/>
        <w:ind w:left="624"/>
        <w:jc w:val="both"/>
        <w:rPr>
          <w:rFonts w:ascii="Times New Roman" w:eastAsia="Calibri" w:hAnsi="Times New Roman" w:cs="Times New Roman"/>
          <w:szCs w:val="22"/>
          <w:lang w:eastAsia="es-ES"/>
        </w:rPr>
      </w:pPr>
    </w:p>
    <w:p w14:paraId="2C407EF0" w14:textId="77777777" w:rsidR="004E7B20" w:rsidRDefault="00CC7D45">
      <w:pPr>
        <w:pStyle w:val="Standard"/>
        <w:numPr>
          <w:ilvl w:val="1"/>
          <w:numId w:val="28"/>
        </w:numPr>
        <w:suppressAutoHyphens w:val="0"/>
        <w:ind w:left="624" w:hanging="624"/>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Las funciones de la Comisión de Seguimiento serán las siguientes:</w:t>
      </w:r>
    </w:p>
    <w:p w14:paraId="4152966D" w14:textId="77777777" w:rsidR="004E7B20" w:rsidRDefault="004E7B20">
      <w:pPr>
        <w:pStyle w:val="Standard"/>
        <w:suppressAutoHyphens w:val="0"/>
        <w:jc w:val="both"/>
        <w:rPr>
          <w:rFonts w:ascii="Times New Roman" w:eastAsia="Calibri" w:hAnsi="Times New Roman" w:cs="Times New Roman"/>
          <w:szCs w:val="22"/>
          <w:lang w:eastAsia="es-ES"/>
        </w:rPr>
      </w:pPr>
    </w:p>
    <w:p w14:paraId="1861BA41" w14:textId="77777777" w:rsidR="004E7B20" w:rsidRDefault="00CC7D45">
      <w:pPr>
        <w:pStyle w:val="Standard"/>
        <w:numPr>
          <w:ilvl w:val="0"/>
          <w:numId w:val="40"/>
        </w:numPr>
        <w:suppressAutoHyphens w:val="0"/>
        <w:ind w:left="1082" w:hanging="45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Efectuar el seguimiento del grado de cumplimiento de los objetivos del presente convenio y de los compromisos de las partes.</w:t>
      </w:r>
    </w:p>
    <w:p w14:paraId="7832FD3E" w14:textId="77777777" w:rsidR="004E7B20" w:rsidRDefault="004E7B20">
      <w:pPr>
        <w:pStyle w:val="Standard"/>
        <w:suppressAutoHyphens w:val="0"/>
        <w:ind w:left="362"/>
        <w:jc w:val="both"/>
        <w:rPr>
          <w:rFonts w:ascii="Times New Roman" w:eastAsia="Calibri" w:hAnsi="Times New Roman" w:cs="Times New Roman"/>
          <w:szCs w:val="22"/>
          <w:lang w:eastAsia="es-ES"/>
        </w:rPr>
      </w:pPr>
    </w:p>
    <w:p w14:paraId="572A251D" w14:textId="77777777" w:rsidR="004E7B20" w:rsidRDefault="00CC7D45">
      <w:pPr>
        <w:pStyle w:val="Standard"/>
        <w:numPr>
          <w:ilvl w:val="0"/>
          <w:numId w:val="12"/>
        </w:numPr>
        <w:suppressAutoHyphens w:val="0"/>
        <w:ind w:left="1082" w:hanging="45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Velar para que se cumpla</w:t>
      </w:r>
      <w:r>
        <w:rPr>
          <w:rFonts w:ascii="Times New Roman" w:eastAsia="Calibri" w:hAnsi="Times New Roman" w:cs="Times New Roman"/>
          <w:szCs w:val="22"/>
          <w:lang w:eastAsia="es-ES"/>
        </w:rPr>
        <w:t>n las finalidades para las que se ceden las viviendas objeto del convenio.</w:t>
      </w:r>
    </w:p>
    <w:p w14:paraId="06DEB177" w14:textId="77777777" w:rsidR="004E7B20" w:rsidRDefault="004E7B20">
      <w:pPr>
        <w:pStyle w:val="Standard"/>
        <w:suppressAutoHyphens w:val="0"/>
        <w:ind w:left="362"/>
        <w:jc w:val="both"/>
        <w:rPr>
          <w:rFonts w:ascii="Times New Roman" w:eastAsia="Calibri" w:hAnsi="Times New Roman" w:cs="Times New Roman"/>
          <w:szCs w:val="22"/>
          <w:lang w:eastAsia="es-ES"/>
        </w:rPr>
      </w:pPr>
    </w:p>
    <w:p w14:paraId="284AD33C" w14:textId="77777777" w:rsidR="004E7B20" w:rsidRDefault="00CC7D45">
      <w:pPr>
        <w:pStyle w:val="Standard"/>
        <w:numPr>
          <w:ilvl w:val="0"/>
          <w:numId w:val="12"/>
        </w:numPr>
        <w:suppressAutoHyphens w:val="0"/>
        <w:ind w:left="1082" w:hanging="45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Resolver, en primera instancia, las controversias que puedan surgir en la interpretación y cumplimiento del convenio.</w:t>
      </w:r>
    </w:p>
    <w:p w14:paraId="599676B1" w14:textId="77777777" w:rsidR="004E7B20" w:rsidRDefault="004E7B20">
      <w:pPr>
        <w:pStyle w:val="Standard"/>
        <w:suppressAutoHyphens w:val="0"/>
        <w:jc w:val="both"/>
        <w:rPr>
          <w:rFonts w:ascii="Times New Roman" w:eastAsia="Calibri" w:hAnsi="Times New Roman" w:cs="Times New Roman"/>
          <w:szCs w:val="22"/>
          <w:lang w:eastAsia="es-ES"/>
        </w:rPr>
      </w:pPr>
    </w:p>
    <w:p w14:paraId="7C545298" w14:textId="77777777" w:rsidR="004E7B20" w:rsidRDefault="00CC7D45">
      <w:pPr>
        <w:pStyle w:val="Standard"/>
        <w:numPr>
          <w:ilvl w:val="0"/>
          <w:numId w:val="12"/>
        </w:numPr>
        <w:suppressAutoHyphens w:val="0"/>
        <w:ind w:left="1082" w:hanging="45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 xml:space="preserve">Adoptar decisiones sobre las cuestiones que le sometan </w:t>
      </w:r>
      <w:r>
        <w:rPr>
          <w:rFonts w:ascii="Times New Roman" w:eastAsia="Calibri" w:hAnsi="Times New Roman" w:cs="Times New Roman"/>
          <w:szCs w:val="22"/>
          <w:lang w:eastAsia="es-ES"/>
        </w:rPr>
        <w:t>cualquiera de las partes firmantes del presente convenio en el desarrollo del mismo.</w:t>
      </w:r>
    </w:p>
    <w:p w14:paraId="49F17972" w14:textId="77777777" w:rsidR="004E7B20" w:rsidRDefault="004E7B20">
      <w:pPr>
        <w:pStyle w:val="Standard"/>
        <w:suppressAutoHyphens w:val="0"/>
        <w:jc w:val="both"/>
        <w:rPr>
          <w:rFonts w:ascii="Times New Roman" w:eastAsia="Calibri" w:hAnsi="Times New Roman" w:cs="Times New Roman"/>
          <w:szCs w:val="22"/>
          <w:lang w:eastAsia="es-ES"/>
        </w:rPr>
      </w:pPr>
    </w:p>
    <w:p w14:paraId="4FCCD75D" w14:textId="77777777" w:rsidR="004E7B20" w:rsidRDefault="00CC7D45">
      <w:pPr>
        <w:pStyle w:val="Standard"/>
        <w:numPr>
          <w:ilvl w:val="1"/>
          <w:numId w:val="28"/>
        </w:numPr>
        <w:suppressAutoHyphens w:val="0"/>
        <w:ind w:left="624" w:hanging="624"/>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Las decisiones de la Comisión de Seguimiento se adoptarán por unanimidad.</w:t>
      </w:r>
    </w:p>
    <w:p w14:paraId="006EF989" w14:textId="77777777" w:rsidR="004E7B20" w:rsidRDefault="004E7B20">
      <w:pPr>
        <w:pStyle w:val="Standard"/>
        <w:suppressAutoHyphens w:val="0"/>
        <w:jc w:val="both"/>
        <w:rPr>
          <w:rFonts w:ascii="Times New Roman" w:eastAsia="Calibri" w:hAnsi="Times New Roman" w:cs="Times New Roman"/>
          <w:szCs w:val="22"/>
          <w:lang w:eastAsia="es-ES"/>
        </w:rPr>
      </w:pPr>
    </w:p>
    <w:p w14:paraId="3C679BB7" w14:textId="77777777" w:rsidR="004E7B20" w:rsidRDefault="00CC7D45">
      <w:pPr>
        <w:pStyle w:val="Standard"/>
        <w:suppressAutoHyphens w:val="0"/>
        <w:jc w:val="both"/>
        <w:rPr>
          <w:rFonts w:ascii="Times New Roman" w:eastAsia="Calibri" w:hAnsi="Times New Roman" w:cs="Times New Roman"/>
          <w:b/>
          <w:bCs/>
          <w:szCs w:val="22"/>
          <w:lang w:eastAsia="es-ES"/>
        </w:rPr>
      </w:pPr>
      <w:r>
        <w:rPr>
          <w:rFonts w:ascii="Times New Roman" w:eastAsia="Calibri" w:hAnsi="Times New Roman" w:cs="Times New Roman"/>
          <w:b/>
          <w:bCs/>
          <w:szCs w:val="22"/>
          <w:lang w:eastAsia="es-ES"/>
        </w:rPr>
        <w:t>Quinta. Vigencia</w:t>
      </w:r>
    </w:p>
    <w:p w14:paraId="6DCD95FE" w14:textId="77777777" w:rsidR="004E7B20" w:rsidRDefault="004E7B20">
      <w:pPr>
        <w:pStyle w:val="Standard"/>
        <w:suppressAutoHyphens w:val="0"/>
        <w:jc w:val="both"/>
        <w:rPr>
          <w:rFonts w:ascii="Times New Roman" w:eastAsia="Calibri" w:hAnsi="Times New Roman" w:cs="Times New Roman"/>
          <w:b/>
          <w:bCs/>
          <w:szCs w:val="22"/>
          <w:lang w:eastAsia="es-ES"/>
        </w:rPr>
      </w:pPr>
    </w:p>
    <w:p w14:paraId="030026C4" w14:textId="77777777" w:rsidR="004E7B20" w:rsidRDefault="00CC7D45">
      <w:pPr>
        <w:pStyle w:val="Standard"/>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 xml:space="preserve">Este convenio estará vigente durante el plazo de 4 años, a contar desde la </w:t>
      </w:r>
      <w:r>
        <w:rPr>
          <w:rFonts w:ascii="Times New Roman" w:eastAsia="Calibri" w:hAnsi="Times New Roman" w:cs="Times New Roman"/>
          <w:szCs w:val="22"/>
          <w:lang w:eastAsia="es-ES"/>
        </w:rPr>
        <w:t>fecha de su firma, y podrá prorrogarse por acuerdo expreso de las partes, por períodos de un año, hasta un máximo de 4 años más, sin perjuicio de la vigencia independiente de los contratos de arrendamiento que se hayan formalizado, a raíz de la operativida</w:t>
      </w:r>
      <w:r>
        <w:rPr>
          <w:rFonts w:ascii="Times New Roman" w:eastAsia="Calibri" w:hAnsi="Times New Roman" w:cs="Times New Roman"/>
          <w:szCs w:val="22"/>
          <w:lang w:eastAsia="es-ES"/>
        </w:rPr>
        <w:t>d de este Convenio, y que a la fecha de expiración de los mismos se encuentren al corriente de pago. En ese caso, se atenderá a la vigencia establecida en cada contrato.</w:t>
      </w:r>
    </w:p>
    <w:p w14:paraId="37DBD97D" w14:textId="77777777" w:rsidR="004E7B20" w:rsidRDefault="004E7B20">
      <w:pPr>
        <w:pStyle w:val="Standard"/>
        <w:suppressAutoHyphens w:val="0"/>
        <w:jc w:val="both"/>
        <w:rPr>
          <w:rFonts w:ascii="Times New Roman" w:eastAsia="Calibri" w:hAnsi="Times New Roman" w:cs="Times New Roman"/>
          <w:szCs w:val="22"/>
          <w:lang w:eastAsia="es-ES"/>
        </w:rPr>
      </w:pPr>
    </w:p>
    <w:p w14:paraId="0833514E" w14:textId="77777777" w:rsidR="004E7B20" w:rsidRDefault="00CC7D45">
      <w:pPr>
        <w:pStyle w:val="Standard"/>
        <w:suppressAutoHyphens w:val="0"/>
        <w:jc w:val="both"/>
        <w:rPr>
          <w:rFonts w:ascii="Times New Roman" w:eastAsia="Calibri" w:hAnsi="Times New Roman" w:cs="Times New Roman"/>
          <w:b/>
          <w:bCs/>
          <w:szCs w:val="22"/>
          <w:lang w:eastAsia="es-ES"/>
        </w:rPr>
      </w:pPr>
      <w:r>
        <w:rPr>
          <w:rFonts w:ascii="Times New Roman" w:eastAsia="Calibri" w:hAnsi="Times New Roman" w:cs="Times New Roman"/>
          <w:b/>
          <w:bCs/>
          <w:szCs w:val="22"/>
          <w:lang w:eastAsia="es-ES"/>
        </w:rPr>
        <w:t>Sexta. Confidencialidad</w:t>
      </w:r>
    </w:p>
    <w:p w14:paraId="33C2CCFE" w14:textId="77777777" w:rsidR="004E7B20" w:rsidRDefault="004E7B20">
      <w:pPr>
        <w:pStyle w:val="Standard"/>
        <w:suppressAutoHyphens w:val="0"/>
        <w:jc w:val="both"/>
        <w:rPr>
          <w:rFonts w:ascii="Times New Roman" w:eastAsia="Calibri" w:hAnsi="Times New Roman" w:cs="Times New Roman"/>
          <w:b/>
          <w:bCs/>
          <w:szCs w:val="22"/>
          <w:lang w:eastAsia="es-ES"/>
        </w:rPr>
      </w:pPr>
    </w:p>
    <w:p w14:paraId="533EF3D4" w14:textId="77777777" w:rsidR="004E7B20" w:rsidRDefault="00CC7D45">
      <w:pPr>
        <w:pStyle w:val="Standard"/>
        <w:numPr>
          <w:ilvl w:val="1"/>
          <w:numId w:val="26"/>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Las partes se obligan a mantener la confidencialidad sobre l</w:t>
      </w:r>
      <w:r>
        <w:rPr>
          <w:rFonts w:ascii="Times New Roman" w:eastAsia="Calibri" w:hAnsi="Times New Roman" w:cs="Times New Roman"/>
          <w:szCs w:val="22"/>
          <w:lang w:eastAsia="es-ES"/>
        </w:rPr>
        <w:t>os asuntos de los que tengan conocimiento por razón de esta colaboración, y no podrán darles difusión sin la autorización expresa y por escrito de la otra parte.</w:t>
      </w:r>
    </w:p>
    <w:p w14:paraId="311CF7C4" w14:textId="77777777" w:rsidR="004E7B20" w:rsidRDefault="004E7B20">
      <w:pPr>
        <w:pStyle w:val="Standard"/>
        <w:suppressAutoHyphens w:val="0"/>
        <w:ind w:left="624"/>
        <w:jc w:val="both"/>
        <w:rPr>
          <w:rFonts w:ascii="Times New Roman" w:eastAsia="Calibri" w:hAnsi="Times New Roman" w:cs="Times New Roman"/>
          <w:szCs w:val="22"/>
          <w:lang w:eastAsia="es-ES"/>
        </w:rPr>
      </w:pPr>
    </w:p>
    <w:p w14:paraId="3F59D552" w14:textId="77777777" w:rsidR="004E7B20" w:rsidRDefault="00CC7D45">
      <w:pPr>
        <w:pStyle w:val="Standard"/>
        <w:numPr>
          <w:ilvl w:val="1"/>
          <w:numId w:val="26"/>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Ambas partes se comprometen a utilizar toda la información a la que tengan acceso con ocasió</w:t>
      </w:r>
      <w:r>
        <w:rPr>
          <w:rFonts w:ascii="Times New Roman" w:eastAsia="Calibri" w:hAnsi="Times New Roman" w:cs="Times New Roman"/>
          <w:szCs w:val="22"/>
          <w:lang w:eastAsia="es-ES"/>
        </w:rPr>
        <w:t xml:space="preserve">n o en ejecución de este acuerdo, únicamente dentro del marco de este Convenio. </w:t>
      </w:r>
      <w:r>
        <w:rPr>
          <w:rFonts w:ascii="Times New Roman" w:eastAsia="Calibri" w:hAnsi="Times New Roman" w:cs="Times New Roman"/>
          <w:szCs w:val="22"/>
          <w:lang w:eastAsia="es-ES"/>
        </w:rPr>
        <w:lastRenderedPageBreak/>
        <w:t>Por lo tanto, la revelación de la información confidencial, por parte de cualquiera de las partes, podrá dar lugar a las responsabilidades correspondientes.</w:t>
      </w:r>
    </w:p>
    <w:p w14:paraId="745990B0" w14:textId="77777777" w:rsidR="004E7B20" w:rsidRDefault="004E7B20">
      <w:pPr>
        <w:pStyle w:val="Standard"/>
        <w:suppressAutoHyphens w:val="0"/>
        <w:ind w:left="720"/>
        <w:rPr>
          <w:rFonts w:ascii="Times New Roman" w:eastAsia="Calibri" w:hAnsi="Times New Roman" w:cs="Times New Roman"/>
          <w:szCs w:val="22"/>
          <w:lang w:eastAsia="es-ES"/>
        </w:rPr>
      </w:pPr>
    </w:p>
    <w:p w14:paraId="2B10B157" w14:textId="77777777" w:rsidR="004E7B20" w:rsidRDefault="00CC7D45">
      <w:pPr>
        <w:pStyle w:val="Standard"/>
        <w:numPr>
          <w:ilvl w:val="1"/>
          <w:numId w:val="26"/>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En las comunicacio</w:t>
      </w:r>
      <w:r>
        <w:rPr>
          <w:rFonts w:ascii="Times New Roman" w:eastAsia="Calibri" w:hAnsi="Times New Roman" w:cs="Times New Roman"/>
          <w:szCs w:val="22"/>
          <w:lang w:eastAsia="es-ES"/>
        </w:rPr>
        <w:t>nes que pudieran realizarse entre las partes, en relación con datos de carácter personal o especialmente protegidos, actuarán de acuerdo con la Ley Orgánica 3/2018, de 5 de diciembre, de Protección de Datos Personales y Garantía de los Derechos Digitales y</w:t>
      </w:r>
      <w:r>
        <w:rPr>
          <w:rFonts w:ascii="Times New Roman" w:eastAsia="Calibri" w:hAnsi="Times New Roman" w:cs="Times New Roman"/>
          <w:szCs w:val="22"/>
          <w:lang w:eastAsia="es-ES"/>
        </w:rPr>
        <w:t xml:space="preserve"> resto de normativa aplicable en la materia.</w:t>
      </w:r>
    </w:p>
    <w:p w14:paraId="3A7024C2" w14:textId="77777777" w:rsidR="004E7B20" w:rsidRDefault="004E7B20">
      <w:pPr>
        <w:pStyle w:val="Standard"/>
        <w:suppressAutoHyphens w:val="0"/>
        <w:ind w:left="720"/>
        <w:rPr>
          <w:rFonts w:ascii="Times New Roman" w:eastAsia="Calibri" w:hAnsi="Times New Roman" w:cs="Times New Roman"/>
          <w:szCs w:val="22"/>
          <w:lang w:eastAsia="es-ES"/>
        </w:rPr>
      </w:pPr>
    </w:p>
    <w:p w14:paraId="7B3EEB42" w14:textId="77777777" w:rsidR="004E7B20" w:rsidRDefault="00CC7D45">
      <w:pPr>
        <w:pStyle w:val="Standard"/>
        <w:numPr>
          <w:ilvl w:val="1"/>
          <w:numId w:val="26"/>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Lo anterior se entiende sin perjuicio de las obligaciones legales y estatutarias en materia de transparencia que sean de aplicación a cada una de las partes.</w:t>
      </w:r>
    </w:p>
    <w:p w14:paraId="37D43970" w14:textId="77777777" w:rsidR="004E7B20" w:rsidRDefault="004E7B20">
      <w:pPr>
        <w:pStyle w:val="Standard"/>
        <w:suppressAutoHyphens w:val="0"/>
        <w:jc w:val="both"/>
        <w:rPr>
          <w:rFonts w:ascii="Times New Roman" w:eastAsia="Calibri" w:hAnsi="Times New Roman" w:cs="Times New Roman"/>
          <w:b/>
          <w:bCs/>
          <w:szCs w:val="22"/>
          <w:lang w:val="pt-PT" w:eastAsia="es-ES"/>
        </w:rPr>
      </w:pPr>
    </w:p>
    <w:p w14:paraId="63AC5E45" w14:textId="77777777" w:rsidR="004E7B20" w:rsidRDefault="00CC7D45">
      <w:pPr>
        <w:pStyle w:val="Standard"/>
        <w:suppressAutoHyphens w:val="0"/>
        <w:jc w:val="both"/>
      </w:pPr>
      <w:r>
        <w:rPr>
          <w:rFonts w:ascii="Times New Roman" w:eastAsia="Calibri" w:hAnsi="Times New Roman" w:cs="Times New Roman"/>
          <w:b/>
          <w:bCs/>
          <w:szCs w:val="22"/>
          <w:lang w:val="pt-PT" w:eastAsia="es-ES"/>
        </w:rPr>
        <w:t>Séptima. Causas de Extinci</w:t>
      </w:r>
      <w:proofErr w:type="spellStart"/>
      <w:r>
        <w:rPr>
          <w:rFonts w:ascii="Times New Roman" w:eastAsia="Calibri" w:hAnsi="Times New Roman" w:cs="Times New Roman"/>
          <w:b/>
          <w:bCs/>
          <w:szCs w:val="22"/>
          <w:lang w:eastAsia="es-ES"/>
        </w:rPr>
        <w:t>ón</w:t>
      </w:r>
      <w:proofErr w:type="spellEnd"/>
    </w:p>
    <w:p w14:paraId="66A95C13" w14:textId="77777777" w:rsidR="004E7B20" w:rsidRDefault="004E7B20">
      <w:pPr>
        <w:pStyle w:val="Standard"/>
        <w:suppressAutoHyphens w:val="0"/>
        <w:jc w:val="both"/>
        <w:rPr>
          <w:rFonts w:ascii="Times New Roman" w:eastAsia="Calibri" w:hAnsi="Times New Roman" w:cs="Times New Roman"/>
          <w:b/>
          <w:bCs/>
          <w:szCs w:val="22"/>
          <w:lang w:eastAsia="es-ES"/>
        </w:rPr>
      </w:pPr>
    </w:p>
    <w:p w14:paraId="0A3E2B09" w14:textId="77777777" w:rsidR="004E7B20" w:rsidRDefault="004E7B20">
      <w:pPr>
        <w:pStyle w:val="Standard"/>
        <w:suppressAutoHyphens w:val="0"/>
        <w:jc w:val="both"/>
        <w:rPr>
          <w:rFonts w:ascii="Times New Roman" w:eastAsia="Calibri" w:hAnsi="Times New Roman" w:cs="Times New Roman"/>
          <w:vanish/>
          <w:szCs w:val="22"/>
          <w:lang w:eastAsia="es-ES"/>
        </w:rPr>
      </w:pPr>
    </w:p>
    <w:p w14:paraId="0E059B7D" w14:textId="77777777" w:rsidR="004E7B20" w:rsidRDefault="00CC7D45">
      <w:pPr>
        <w:pStyle w:val="Standard"/>
        <w:numPr>
          <w:ilvl w:val="1"/>
          <w:numId w:val="27"/>
        </w:numPr>
        <w:suppressAutoHyphens w:val="0"/>
        <w:jc w:val="both"/>
      </w:pPr>
      <w:r>
        <w:rPr>
          <w:rFonts w:ascii="Times New Roman" w:eastAsia="Calibri" w:hAnsi="Times New Roman" w:cs="Times New Roman"/>
          <w:szCs w:val="22"/>
          <w:lang w:eastAsia="es-ES"/>
        </w:rPr>
        <w:t>Será</w:t>
      </w:r>
      <w:r>
        <w:rPr>
          <w:rFonts w:ascii="Times New Roman" w:eastAsia="Calibri" w:hAnsi="Times New Roman" w:cs="Times New Roman"/>
          <w:szCs w:val="22"/>
          <w:lang w:eastAsia="es-ES"/>
        </w:rPr>
        <w:t xml:space="preserve">n causas de </w:t>
      </w:r>
      <w:r>
        <w:rPr>
          <w:rFonts w:ascii="Times New Roman" w:eastAsia="Calibri" w:hAnsi="Times New Roman" w:cs="Times New Roman"/>
          <w:szCs w:val="22"/>
          <w:lang w:eastAsia="es-ES"/>
        </w:rPr>
        <w:t>extinción del Convenio las siguientes:</w:t>
      </w:r>
    </w:p>
    <w:p w14:paraId="082ACC20" w14:textId="77777777" w:rsidR="004E7B20" w:rsidRDefault="004E7B20">
      <w:pPr>
        <w:pStyle w:val="Standard"/>
        <w:suppressAutoHyphens w:val="0"/>
        <w:jc w:val="right"/>
        <w:rPr>
          <w:rFonts w:ascii="Times New Roman" w:eastAsia="Calibri" w:hAnsi="Times New Roman" w:cs="Times New Roman"/>
          <w:szCs w:val="22"/>
          <w:lang w:eastAsia="es-ES"/>
        </w:rPr>
      </w:pPr>
    </w:p>
    <w:p w14:paraId="6CE5A690" w14:textId="77777777" w:rsidR="004E7B20" w:rsidRDefault="00CC7D45">
      <w:pPr>
        <w:pStyle w:val="Standard"/>
        <w:numPr>
          <w:ilvl w:val="0"/>
          <w:numId w:val="41"/>
        </w:numPr>
        <w:suppressAutoHyphens w:val="0"/>
        <w:ind w:left="720" w:hanging="45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el mutuo acuerdo de las partes que lo suscriben, manifestado por escrito.</w:t>
      </w:r>
    </w:p>
    <w:p w14:paraId="4133D255" w14:textId="77777777" w:rsidR="004E7B20" w:rsidRDefault="00CC7D45">
      <w:pPr>
        <w:pStyle w:val="Standard"/>
        <w:numPr>
          <w:ilvl w:val="0"/>
          <w:numId w:val="14"/>
        </w:numPr>
        <w:suppressAutoHyphens w:val="0"/>
        <w:ind w:left="720" w:hanging="45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la imposibilidad legal o material de continuar con el objeto del convenio.</w:t>
      </w:r>
    </w:p>
    <w:p w14:paraId="7C18CFA2" w14:textId="77777777" w:rsidR="004E7B20" w:rsidRDefault="00CC7D45">
      <w:pPr>
        <w:pStyle w:val="Standard"/>
        <w:numPr>
          <w:ilvl w:val="0"/>
          <w:numId w:val="14"/>
        </w:numPr>
        <w:suppressAutoHyphens w:val="0"/>
        <w:ind w:left="720" w:hanging="45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el incumplimiento grave de cualquiera de sus cláusulas.</w:t>
      </w:r>
    </w:p>
    <w:p w14:paraId="5EE26200" w14:textId="77777777" w:rsidR="004E7B20" w:rsidRDefault="00CC7D45">
      <w:pPr>
        <w:pStyle w:val="Standard"/>
        <w:numPr>
          <w:ilvl w:val="0"/>
          <w:numId w:val="14"/>
        </w:numPr>
        <w:suppressAutoHyphens w:val="0"/>
        <w:ind w:left="720" w:hanging="45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la denuncia</w:t>
      </w:r>
      <w:r>
        <w:rPr>
          <w:rFonts w:ascii="Times New Roman" w:eastAsia="Calibri" w:hAnsi="Times New Roman" w:cs="Times New Roman"/>
          <w:szCs w:val="22"/>
          <w:lang w:eastAsia="es-ES"/>
        </w:rPr>
        <w:t xml:space="preserve"> de una de las partes, que habrá de hacerse con un mínimo de tres meses de antelación.</w:t>
      </w:r>
    </w:p>
    <w:p w14:paraId="2DD6866C" w14:textId="77777777" w:rsidR="004E7B20" w:rsidRDefault="00CC7D45">
      <w:pPr>
        <w:pStyle w:val="Standard"/>
        <w:numPr>
          <w:ilvl w:val="0"/>
          <w:numId w:val="14"/>
        </w:numPr>
        <w:suppressAutoHyphens w:val="0"/>
        <w:ind w:left="720" w:hanging="45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la finalización del periodo de vigencia sin que medie acuerdo para prorrogarlo.</w:t>
      </w:r>
    </w:p>
    <w:p w14:paraId="19EFB0B5" w14:textId="77777777" w:rsidR="004E7B20" w:rsidRDefault="00CC7D45">
      <w:pPr>
        <w:pStyle w:val="Standard"/>
        <w:numPr>
          <w:ilvl w:val="0"/>
          <w:numId w:val="14"/>
        </w:numPr>
        <w:suppressAutoHyphens w:val="0"/>
        <w:ind w:left="720" w:hanging="45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El incumplimiento de la finalidad social para la que se efectúa la cesión.</w:t>
      </w:r>
    </w:p>
    <w:p w14:paraId="1B5AD092" w14:textId="77777777" w:rsidR="004E7B20" w:rsidRDefault="00CC7D45">
      <w:pPr>
        <w:pStyle w:val="Standard"/>
        <w:numPr>
          <w:ilvl w:val="0"/>
          <w:numId w:val="14"/>
        </w:numPr>
        <w:suppressAutoHyphens w:val="0"/>
        <w:ind w:left="720" w:hanging="458"/>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 xml:space="preserve">las </w:t>
      </w:r>
      <w:r>
        <w:rPr>
          <w:rFonts w:ascii="Times New Roman" w:eastAsia="Calibri" w:hAnsi="Times New Roman" w:cs="Times New Roman"/>
          <w:szCs w:val="22"/>
          <w:lang w:eastAsia="es-ES"/>
        </w:rPr>
        <w:t>causas generales establecidas en la legislación vigente.</w:t>
      </w:r>
    </w:p>
    <w:p w14:paraId="06002917" w14:textId="77777777" w:rsidR="004E7B20" w:rsidRDefault="004E7B20">
      <w:pPr>
        <w:pStyle w:val="Standard"/>
        <w:suppressAutoHyphens w:val="0"/>
        <w:jc w:val="both"/>
        <w:rPr>
          <w:rFonts w:ascii="Times New Roman" w:eastAsia="Calibri" w:hAnsi="Times New Roman" w:cs="Times New Roman"/>
          <w:szCs w:val="22"/>
          <w:lang w:eastAsia="es-ES"/>
        </w:rPr>
      </w:pPr>
    </w:p>
    <w:p w14:paraId="4F3505BC" w14:textId="77777777" w:rsidR="004E7B20" w:rsidRDefault="00CC7D45">
      <w:pPr>
        <w:pStyle w:val="Standard"/>
        <w:numPr>
          <w:ilvl w:val="1"/>
          <w:numId w:val="27"/>
        </w:numPr>
        <w:suppressAutoHyphens w:val="0"/>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 xml:space="preserve">La extinción del convenio no afectará a las actuaciones iniciadas, en especial a los contratos de arrendamiento suscritos que mantendrán su vigencia, sin perjuicio de la subrogación de SAREB en los </w:t>
      </w:r>
      <w:r>
        <w:rPr>
          <w:rFonts w:ascii="Times New Roman" w:eastAsia="Calibri" w:hAnsi="Times New Roman" w:cs="Times New Roman"/>
          <w:szCs w:val="22"/>
          <w:lang w:eastAsia="es-ES"/>
        </w:rPr>
        <w:t>mismos.</w:t>
      </w:r>
    </w:p>
    <w:p w14:paraId="4029E7D8" w14:textId="77777777" w:rsidR="004E7B20" w:rsidRDefault="004E7B20">
      <w:pPr>
        <w:pStyle w:val="Standard"/>
        <w:suppressAutoHyphens w:val="0"/>
        <w:jc w:val="both"/>
        <w:rPr>
          <w:rFonts w:ascii="Times New Roman" w:eastAsia="Calibri" w:hAnsi="Times New Roman" w:cs="Times New Roman"/>
          <w:b/>
          <w:bCs/>
          <w:szCs w:val="22"/>
          <w:lang w:eastAsia="es-ES"/>
        </w:rPr>
      </w:pPr>
    </w:p>
    <w:p w14:paraId="22B02E8D" w14:textId="77777777" w:rsidR="004E7B20" w:rsidRDefault="00CC7D45">
      <w:pPr>
        <w:pStyle w:val="Standard"/>
        <w:suppressAutoHyphens w:val="0"/>
        <w:jc w:val="both"/>
        <w:rPr>
          <w:rFonts w:ascii="Times New Roman" w:eastAsia="Calibri" w:hAnsi="Times New Roman" w:cs="Times New Roman"/>
          <w:b/>
          <w:bCs/>
          <w:szCs w:val="22"/>
          <w:lang w:eastAsia="es-ES"/>
        </w:rPr>
      </w:pPr>
      <w:r>
        <w:rPr>
          <w:rFonts w:ascii="Times New Roman" w:eastAsia="Calibri" w:hAnsi="Times New Roman" w:cs="Times New Roman"/>
          <w:b/>
          <w:bCs/>
          <w:szCs w:val="22"/>
          <w:lang w:eastAsia="es-ES"/>
        </w:rPr>
        <w:t>Octava. Resolución de conflictos</w:t>
      </w:r>
    </w:p>
    <w:p w14:paraId="5BF68BF9" w14:textId="77777777" w:rsidR="004E7B20" w:rsidRDefault="004E7B20">
      <w:pPr>
        <w:pStyle w:val="Standard"/>
        <w:suppressAutoHyphens w:val="0"/>
        <w:jc w:val="both"/>
        <w:rPr>
          <w:rFonts w:ascii="Times New Roman" w:eastAsia="Calibri" w:hAnsi="Times New Roman" w:cs="Times New Roman"/>
          <w:b/>
          <w:bCs/>
          <w:szCs w:val="22"/>
          <w:lang w:eastAsia="es-ES"/>
        </w:rPr>
      </w:pPr>
    </w:p>
    <w:p w14:paraId="1C64A481" w14:textId="77777777" w:rsidR="004E7B20" w:rsidRDefault="00CC7D45">
      <w:pPr>
        <w:pStyle w:val="Standard"/>
        <w:numPr>
          <w:ilvl w:val="1"/>
          <w:numId w:val="30"/>
        </w:numPr>
        <w:suppressAutoHyphens w:val="0"/>
        <w:ind w:left="567" w:hanging="567"/>
        <w:jc w:val="both"/>
      </w:pPr>
      <w:r>
        <w:rPr>
          <w:rFonts w:ascii="Times New Roman" w:eastAsia="Calibri" w:hAnsi="Times New Roman" w:cs="Times New Roman"/>
          <w:szCs w:val="22"/>
          <w:lang w:eastAsia="es-ES"/>
        </w:rPr>
        <w:t>Las controversias que puedan plantearse sobre la interpretaci</w:t>
      </w:r>
      <w:r>
        <w:rPr>
          <w:rFonts w:ascii="Times New Roman" w:eastAsia="Calibri" w:hAnsi="Times New Roman" w:cs="Times New Roman"/>
          <w:szCs w:val="22"/>
          <w:lang w:eastAsia="es-ES"/>
        </w:rPr>
        <w:t>ó</w:t>
      </w:r>
      <w:r>
        <w:rPr>
          <w:rFonts w:ascii="Times New Roman" w:eastAsia="Calibri" w:hAnsi="Times New Roman" w:cs="Times New Roman"/>
          <w:szCs w:val="22"/>
          <w:lang w:eastAsia="es-ES"/>
        </w:rPr>
        <w:t>n, modificación, efectos y resolución del presente Convenio las resolver</w:t>
      </w:r>
      <w:r>
        <w:rPr>
          <w:rFonts w:ascii="Times New Roman" w:eastAsia="Calibri" w:hAnsi="Times New Roman" w:cs="Times New Roman"/>
          <w:szCs w:val="22"/>
          <w:lang w:eastAsia="es-ES"/>
        </w:rPr>
        <w:t>á la Comisión</w:t>
      </w:r>
      <w:r>
        <w:rPr>
          <w:rFonts w:ascii="Times New Roman" w:eastAsia="Calibri" w:hAnsi="Times New Roman" w:cs="Times New Roman"/>
          <w:szCs w:val="22"/>
          <w:lang w:eastAsia="es-ES"/>
        </w:rPr>
        <w:t xml:space="preserve"> de Seguimiento.</w:t>
      </w:r>
    </w:p>
    <w:p w14:paraId="5C07A28F" w14:textId="77777777" w:rsidR="004E7B20" w:rsidRDefault="004E7B20">
      <w:pPr>
        <w:pStyle w:val="Standard"/>
        <w:suppressAutoHyphens w:val="0"/>
        <w:ind w:left="567"/>
        <w:jc w:val="both"/>
        <w:rPr>
          <w:rFonts w:ascii="Times New Roman" w:eastAsia="Calibri" w:hAnsi="Times New Roman" w:cs="Times New Roman"/>
          <w:b/>
          <w:bCs/>
          <w:szCs w:val="22"/>
          <w:lang w:eastAsia="es-ES"/>
        </w:rPr>
      </w:pPr>
    </w:p>
    <w:p w14:paraId="2BF41C8B" w14:textId="77777777" w:rsidR="004E7B20" w:rsidRDefault="00CC7D45">
      <w:pPr>
        <w:pStyle w:val="Standard"/>
        <w:numPr>
          <w:ilvl w:val="1"/>
          <w:numId w:val="30"/>
        </w:numPr>
        <w:suppressAutoHyphens w:val="0"/>
        <w:ind w:left="567" w:hanging="567"/>
        <w:jc w:val="both"/>
        <w:rPr>
          <w:rFonts w:ascii="Times New Roman" w:eastAsia="Calibri" w:hAnsi="Times New Roman" w:cs="Times New Roman"/>
          <w:szCs w:val="22"/>
          <w:lang w:eastAsia="es-ES"/>
        </w:rPr>
      </w:pPr>
      <w:r>
        <w:rPr>
          <w:rFonts w:ascii="Times New Roman" w:eastAsia="Calibri" w:hAnsi="Times New Roman" w:cs="Times New Roman"/>
          <w:szCs w:val="22"/>
          <w:lang w:eastAsia="es-ES"/>
        </w:rPr>
        <w:t>A falta de acuerdo, las partes de este Convenio</w:t>
      </w:r>
      <w:r>
        <w:rPr>
          <w:rFonts w:ascii="Times New Roman" w:eastAsia="Calibri" w:hAnsi="Times New Roman" w:cs="Times New Roman"/>
          <w:szCs w:val="22"/>
          <w:lang w:eastAsia="es-ES"/>
        </w:rPr>
        <w:t xml:space="preserve"> se someten irrevocablemente a la jurisdicción de los Juzgados y Tribunales competentes.</w:t>
      </w:r>
    </w:p>
    <w:p w14:paraId="4EF7DD1B" w14:textId="77777777" w:rsidR="004E7B20" w:rsidRDefault="004E7B20">
      <w:pPr>
        <w:pStyle w:val="Standard"/>
        <w:jc w:val="both"/>
        <w:rPr>
          <w:rFonts w:ascii="Times New Roman" w:hAnsi="Times New Roman"/>
          <w:szCs w:val="22"/>
        </w:rPr>
      </w:pPr>
    </w:p>
    <w:p w14:paraId="15EA4222" w14:textId="77777777" w:rsidR="004E7B20" w:rsidRDefault="004E7B20">
      <w:pPr>
        <w:pStyle w:val="Standard"/>
        <w:widowControl w:val="0"/>
        <w:ind w:right="-23"/>
        <w:jc w:val="both"/>
        <w:rPr>
          <w:rFonts w:ascii="Times New Roman" w:hAnsi="Times New Roman" w:cs="Times New Roman"/>
          <w:szCs w:val="22"/>
        </w:rPr>
      </w:pPr>
    </w:p>
    <w:p w14:paraId="56F7C65A" w14:textId="77777777" w:rsidR="004E7B20" w:rsidRDefault="00CC7D45">
      <w:pPr>
        <w:pStyle w:val="Standard"/>
        <w:suppressAutoHyphens w:val="0"/>
        <w:jc w:val="both"/>
      </w:pPr>
      <w:r>
        <w:rPr>
          <w:rFonts w:ascii="Times New Roman" w:eastAsia="Calibri" w:hAnsi="Times New Roman" w:cs="Times New Roman"/>
          <w:bCs/>
          <w:szCs w:val="22"/>
          <w:lang w:eastAsia="es-ES"/>
        </w:rPr>
        <w:t>Y en prueba de conformidad, firman este Convenio por duplicado</w:t>
      </w:r>
      <w:r>
        <w:rPr>
          <w:rFonts w:ascii="Times New Roman" w:eastAsia="Calibri" w:hAnsi="Times New Roman" w:cs="Times New Roman"/>
          <w:bCs/>
          <w:szCs w:val="22"/>
          <w:lang w:eastAsia="es-ES"/>
        </w:rPr>
        <w:t xml:space="preserve"> y a un solo efecto, en el lugar y fecha arriba indicados.</w:t>
      </w:r>
    </w:p>
    <w:p w14:paraId="7A8146C7" w14:textId="77777777" w:rsidR="004E7B20" w:rsidRDefault="004E7B20">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76" w:lineRule="auto"/>
        <w:jc w:val="both"/>
        <w:rPr>
          <w:rFonts w:cs="Arial"/>
          <w:color w:val="000000"/>
          <w:lang w:eastAsia="ca-ES"/>
        </w:rPr>
      </w:pPr>
    </w:p>
    <w:p w14:paraId="4C854990" w14:textId="77777777" w:rsidR="004E7B20" w:rsidRDefault="004E7B20">
      <w:pPr>
        <w:pStyle w:val="Standard"/>
        <w:widowControl w:val="0"/>
        <w:tabs>
          <w:tab w:val="right" w:pos="8208"/>
          <w:tab w:val="left" w:pos="8256"/>
        </w:tabs>
        <w:spacing w:line="276" w:lineRule="auto"/>
        <w:jc w:val="both"/>
        <w:rPr>
          <w:rFonts w:cs="Arial"/>
          <w:b/>
          <w:color w:val="000000"/>
          <w:lang w:eastAsia="ca-ES"/>
        </w:rPr>
      </w:pPr>
    </w:p>
    <w:p w14:paraId="3063EA29" w14:textId="77777777" w:rsidR="004E7B20" w:rsidRDefault="004E7B20">
      <w:pPr>
        <w:pStyle w:val="Standard"/>
        <w:widowControl w:val="0"/>
        <w:tabs>
          <w:tab w:val="right" w:pos="8208"/>
          <w:tab w:val="left" w:pos="8256"/>
        </w:tabs>
        <w:spacing w:line="276" w:lineRule="auto"/>
        <w:jc w:val="both"/>
        <w:rPr>
          <w:rFonts w:cs="Arial"/>
          <w:b/>
          <w:color w:val="000000"/>
          <w:lang w:eastAsia="ca-ES"/>
        </w:rPr>
      </w:pPr>
    </w:p>
    <w:p w14:paraId="041B005D" w14:textId="77777777" w:rsidR="004E7B20" w:rsidRDefault="004E7B20">
      <w:pPr>
        <w:pStyle w:val="Standard"/>
        <w:widowControl w:val="0"/>
        <w:tabs>
          <w:tab w:val="right" w:pos="8208"/>
          <w:tab w:val="left" w:pos="8256"/>
        </w:tabs>
        <w:spacing w:line="276" w:lineRule="auto"/>
        <w:jc w:val="both"/>
        <w:rPr>
          <w:rFonts w:cs="Arial"/>
          <w:b/>
          <w:color w:val="000000"/>
          <w:lang w:eastAsia="ca-ES"/>
        </w:rPr>
      </w:pPr>
    </w:p>
    <w:tbl>
      <w:tblPr>
        <w:tblW w:w="9142" w:type="dxa"/>
        <w:tblInd w:w="-70" w:type="dxa"/>
        <w:tblLayout w:type="fixed"/>
        <w:tblCellMar>
          <w:left w:w="10" w:type="dxa"/>
          <w:right w:w="10" w:type="dxa"/>
        </w:tblCellMar>
        <w:tblLook w:val="04A0" w:firstRow="1" w:lastRow="0" w:firstColumn="1" w:lastColumn="0" w:noHBand="0" w:noVBand="1"/>
      </w:tblPr>
      <w:tblGrid>
        <w:gridCol w:w="3047"/>
        <w:gridCol w:w="566"/>
        <w:gridCol w:w="284"/>
        <w:gridCol w:w="2197"/>
        <w:gridCol w:w="3048"/>
      </w:tblGrid>
      <w:tr w:rsidR="004E7B20" w14:paraId="4C075756" w14:textId="77777777">
        <w:tblPrEx>
          <w:tblCellMar>
            <w:top w:w="0" w:type="dxa"/>
            <w:bottom w:w="0" w:type="dxa"/>
          </w:tblCellMar>
        </w:tblPrEx>
        <w:tc>
          <w:tcPr>
            <w:tcW w:w="3047" w:type="dxa"/>
            <w:tcMar>
              <w:top w:w="0" w:type="dxa"/>
              <w:left w:w="70" w:type="dxa"/>
              <w:bottom w:w="0" w:type="dxa"/>
              <w:right w:w="70" w:type="dxa"/>
            </w:tcMar>
          </w:tcPr>
          <w:p w14:paraId="1AE99E9E" w14:textId="77777777" w:rsidR="004E7B20" w:rsidRDefault="004E7B20">
            <w:pPr>
              <w:pStyle w:val="Standard"/>
              <w:widowControl w:val="0"/>
              <w:tabs>
                <w:tab w:val="right" w:pos="8208"/>
                <w:tab w:val="left" w:pos="8256"/>
              </w:tabs>
              <w:spacing w:line="276" w:lineRule="auto"/>
              <w:jc w:val="both"/>
              <w:rPr>
                <w:rFonts w:cs="Arial"/>
                <w:color w:val="000000"/>
                <w:lang w:eastAsia="ca-ES"/>
              </w:rPr>
            </w:pPr>
          </w:p>
        </w:tc>
        <w:tc>
          <w:tcPr>
            <w:tcW w:w="3047" w:type="dxa"/>
            <w:gridSpan w:val="3"/>
            <w:tcMar>
              <w:top w:w="0" w:type="dxa"/>
              <w:left w:w="70" w:type="dxa"/>
              <w:bottom w:w="0" w:type="dxa"/>
              <w:right w:w="70" w:type="dxa"/>
            </w:tcMar>
          </w:tcPr>
          <w:p w14:paraId="0F76DB08" w14:textId="77777777" w:rsidR="004E7B20" w:rsidRDefault="004E7B20">
            <w:pPr>
              <w:pStyle w:val="Standard"/>
              <w:widowControl w:val="0"/>
              <w:tabs>
                <w:tab w:val="right" w:pos="8208"/>
                <w:tab w:val="left" w:pos="8256"/>
              </w:tabs>
              <w:spacing w:line="276" w:lineRule="auto"/>
              <w:jc w:val="both"/>
              <w:rPr>
                <w:rFonts w:cs="Arial"/>
                <w:color w:val="000000"/>
                <w:lang w:eastAsia="ca-ES"/>
              </w:rPr>
            </w:pPr>
          </w:p>
        </w:tc>
        <w:tc>
          <w:tcPr>
            <w:tcW w:w="3048" w:type="dxa"/>
            <w:tcMar>
              <w:top w:w="0" w:type="dxa"/>
              <w:left w:w="70" w:type="dxa"/>
              <w:bottom w:w="0" w:type="dxa"/>
              <w:right w:w="70" w:type="dxa"/>
            </w:tcMar>
          </w:tcPr>
          <w:p w14:paraId="5DBD8E42" w14:textId="77777777" w:rsidR="004E7B20" w:rsidRDefault="004E7B20">
            <w:pPr>
              <w:pStyle w:val="Standard"/>
              <w:widowControl w:val="0"/>
              <w:tabs>
                <w:tab w:val="right" w:pos="8208"/>
                <w:tab w:val="left" w:pos="8256"/>
              </w:tabs>
              <w:spacing w:line="276" w:lineRule="auto"/>
              <w:jc w:val="both"/>
              <w:rPr>
                <w:rFonts w:cs="Arial"/>
                <w:color w:val="000000"/>
                <w:lang w:eastAsia="ca-ES"/>
              </w:rPr>
            </w:pPr>
          </w:p>
        </w:tc>
      </w:tr>
      <w:tr w:rsidR="004E7B20" w14:paraId="75865218" w14:textId="77777777">
        <w:tblPrEx>
          <w:tblCellMar>
            <w:top w:w="0" w:type="dxa"/>
            <w:bottom w:w="0" w:type="dxa"/>
          </w:tblCellMar>
        </w:tblPrEx>
        <w:trPr>
          <w:trHeight w:val="70"/>
        </w:trPr>
        <w:tc>
          <w:tcPr>
            <w:tcW w:w="3613" w:type="dxa"/>
            <w:gridSpan w:val="2"/>
            <w:tcMar>
              <w:top w:w="0" w:type="dxa"/>
              <w:left w:w="70" w:type="dxa"/>
              <w:bottom w:w="0" w:type="dxa"/>
              <w:right w:w="70" w:type="dxa"/>
            </w:tcMar>
          </w:tcPr>
          <w:p w14:paraId="50AE6485" w14:textId="77777777" w:rsidR="004E7B20" w:rsidRDefault="00CC7D45">
            <w:pPr>
              <w:pStyle w:val="Standard"/>
              <w:widowControl w:val="0"/>
              <w:tabs>
                <w:tab w:val="right" w:pos="8208"/>
                <w:tab w:val="left" w:pos="8256"/>
              </w:tabs>
              <w:spacing w:line="276" w:lineRule="auto"/>
              <w:jc w:val="both"/>
              <w:rPr>
                <w:rFonts w:ascii="Times New Roman" w:hAnsi="Times New Roman" w:cs="Times New Roman"/>
                <w:b/>
                <w:color w:val="000000"/>
                <w:sz w:val="20"/>
                <w:lang w:eastAsia="ca-ES"/>
              </w:rPr>
            </w:pPr>
            <w:r>
              <w:rPr>
                <w:rFonts w:ascii="Times New Roman" w:hAnsi="Times New Roman" w:cs="Times New Roman"/>
                <w:b/>
                <w:color w:val="000000"/>
                <w:sz w:val="20"/>
                <w:lang w:eastAsia="ca-ES"/>
              </w:rPr>
              <w:t>Fdo.:</w:t>
            </w:r>
          </w:p>
        </w:tc>
        <w:tc>
          <w:tcPr>
            <w:tcW w:w="284" w:type="dxa"/>
            <w:tcMar>
              <w:top w:w="0" w:type="dxa"/>
              <w:left w:w="70" w:type="dxa"/>
              <w:bottom w:w="0" w:type="dxa"/>
              <w:right w:w="70" w:type="dxa"/>
            </w:tcMar>
          </w:tcPr>
          <w:p w14:paraId="4D5319D5" w14:textId="77777777" w:rsidR="004E7B20" w:rsidRDefault="004E7B20">
            <w:pPr>
              <w:pStyle w:val="Standard"/>
              <w:widowControl w:val="0"/>
              <w:tabs>
                <w:tab w:val="right" w:pos="8208"/>
                <w:tab w:val="left" w:pos="8256"/>
              </w:tabs>
              <w:spacing w:line="276" w:lineRule="auto"/>
              <w:jc w:val="both"/>
              <w:rPr>
                <w:rFonts w:ascii="Times New Roman" w:hAnsi="Times New Roman" w:cs="Times New Roman"/>
                <w:b/>
                <w:color w:val="000000"/>
                <w:sz w:val="20"/>
                <w:lang w:eastAsia="ca-ES"/>
              </w:rPr>
            </w:pPr>
          </w:p>
        </w:tc>
        <w:tc>
          <w:tcPr>
            <w:tcW w:w="5245" w:type="dxa"/>
            <w:gridSpan w:val="2"/>
            <w:tcMar>
              <w:top w:w="0" w:type="dxa"/>
              <w:left w:w="70" w:type="dxa"/>
              <w:bottom w:w="0" w:type="dxa"/>
              <w:right w:w="70" w:type="dxa"/>
            </w:tcMar>
          </w:tcPr>
          <w:p w14:paraId="0812E037" w14:textId="77777777" w:rsidR="004E7B20" w:rsidRDefault="00CC7D45">
            <w:pPr>
              <w:pStyle w:val="Standard"/>
              <w:widowControl w:val="0"/>
              <w:tabs>
                <w:tab w:val="right" w:pos="8208"/>
                <w:tab w:val="left" w:pos="8256"/>
              </w:tabs>
              <w:spacing w:line="276" w:lineRule="auto"/>
              <w:jc w:val="both"/>
              <w:rPr>
                <w:rFonts w:ascii="Times New Roman" w:hAnsi="Times New Roman" w:cs="Times New Roman"/>
                <w:b/>
                <w:color w:val="000000"/>
                <w:sz w:val="20"/>
                <w:lang w:eastAsia="ca-ES"/>
              </w:rPr>
            </w:pPr>
            <w:r>
              <w:rPr>
                <w:rFonts w:ascii="Times New Roman" w:hAnsi="Times New Roman" w:cs="Times New Roman"/>
                <w:b/>
                <w:color w:val="000000"/>
                <w:sz w:val="20"/>
                <w:lang w:eastAsia="ca-ES"/>
              </w:rPr>
              <w:t>Fdo.: Gaspar González-Palenzuela González-Villegas</w:t>
            </w:r>
          </w:p>
          <w:p w14:paraId="57305DAB" w14:textId="77777777" w:rsidR="004E7B20" w:rsidRDefault="004E7B20">
            <w:pPr>
              <w:pStyle w:val="Standard"/>
              <w:widowControl w:val="0"/>
              <w:tabs>
                <w:tab w:val="right" w:pos="8208"/>
                <w:tab w:val="left" w:pos="8256"/>
              </w:tabs>
              <w:spacing w:line="276" w:lineRule="auto"/>
              <w:jc w:val="both"/>
              <w:rPr>
                <w:rFonts w:ascii="Times New Roman" w:hAnsi="Times New Roman" w:cs="Times New Roman"/>
                <w:b/>
                <w:color w:val="000000"/>
                <w:sz w:val="20"/>
                <w:lang w:eastAsia="ca-ES"/>
              </w:rPr>
            </w:pPr>
          </w:p>
        </w:tc>
      </w:tr>
    </w:tbl>
    <w:p w14:paraId="3D084EEA" w14:textId="77777777" w:rsidR="004E7B20" w:rsidRDefault="004E7B20">
      <w:pPr>
        <w:pStyle w:val="Standard"/>
        <w:widowControl w:val="0"/>
        <w:ind w:right="-23"/>
        <w:jc w:val="both"/>
        <w:rPr>
          <w:rFonts w:ascii="Times New Roman" w:hAnsi="Times New Roman" w:cs="Times New Roman"/>
          <w:szCs w:val="22"/>
        </w:rPr>
      </w:pPr>
    </w:p>
    <w:p w14:paraId="02C84BF1" w14:textId="77777777" w:rsidR="004E7B20" w:rsidRDefault="004E7B20">
      <w:pPr>
        <w:pStyle w:val="Standard"/>
        <w:widowControl w:val="0"/>
        <w:ind w:right="-23"/>
        <w:jc w:val="both"/>
        <w:rPr>
          <w:rFonts w:ascii="Times New Roman" w:hAnsi="Times New Roman" w:cs="Times New Roman"/>
          <w:szCs w:val="22"/>
        </w:rPr>
      </w:pPr>
    </w:p>
    <w:p w14:paraId="5916035D" w14:textId="77777777" w:rsidR="004E7B20" w:rsidRDefault="004E7B20">
      <w:pPr>
        <w:pStyle w:val="Standard"/>
        <w:widowControl w:val="0"/>
        <w:ind w:right="-23"/>
        <w:jc w:val="both"/>
        <w:rPr>
          <w:rFonts w:ascii="Times New Roman" w:hAnsi="Times New Roman" w:cs="Times New Roman"/>
          <w:szCs w:val="22"/>
          <w:lang w:val="pt-BR"/>
        </w:rPr>
      </w:pPr>
    </w:p>
    <w:p w14:paraId="3C8BE413" w14:textId="77777777" w:rsidR="004E7B20" w:rsidRDefault="004E7B20">
      <w:pPr>
        <w:pStyle w:val="Standard"/>
        <w:widowControl w:val="0"/>
        <w:ind w:right="-23"/>
        <w:jc w:val="both"/>
        <w:rPr>
          <w:rFonts w:ascii="Times New Roman" w:hAnsi="Times New Roman" w:cs="Times New Roman"/>
          <w:szCs w:val="22"/>
        </w:rPr>
      </w:pPr>
    </w:p>
    <w:p w14:paraId="5DB97CD9" w14:textId="77777777" w:rsidR="004E7B20" w:rsidRDefault="00CC7D45">
      <w:pPr>
        <w:pStyle w:val="Standard"/>
        <w:widowControl w:val="0"/>
        <w:ind w:right="-23"/>
        <w:jc w:val="both"/>
        <w:rPr>
          <w:rFonts w:ascii="Times New Roman" w:hAnsi="Times New Roman" w:cs="Times New Roman"/>
          <w:szCs w:val="22"/>
        </w:rPr>
      </w:pPr>
      <w:r>
        <w:rPr>
          <w:rFonts w:ascii="Times New Roman" w:hAnsi="Times New Roman" w:cs="Times New Roman"/>
          <w:szCs w:val="22"/>
        </w:rPr>
        <w:lastRenderedPageBreak/>
        <w:t xml:space="preserve">    </w:t>
      </w:r>
    </w:p>
    <w:p w14:paraId="2FF789C5" w14:textId="77777777" w:rsidR="004E7B20" w:rsidRDefault="004E7B20">
      <w:pPr>
        <w:pStyle w:val="Textoindependiente31"/>
        <w:ind w:left="260"/>
      </w:pPr>
    </w:p>
    <w:sectPr w:rsidR="004E7B20">
      <w:headerReference w:type="even" r:id="rId7"/>
      <w:headerReference w:type="default" r:id="rId8"/>
      <w:footerReference w:type="even" r:id="rId9"/>
      <w:footerReference w:type="default" r:id="rId10"/>
      <w:pgSz w:w="11906" w:h="16838"/>
      <w:pgMar w:top="1985" w:right="1701" w:bottom="1588" w:left="1701" w:header="851"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407E" w14:textId="77777777" w:rsidR="00CC7D45" w:rsidRDefault="00CC7D45">
      <w:r>
        <w:separator/>
      </w:r>
    </w:p>
  </w:endnote>
  <w:endnote w:type="continuationSeparator" w:id="0">
    <w:p w14:paraId="2240A6BF" w14:textId="77777777" w:rsidR="00CC7D45" w:rsidRDefault="00CC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font>
  <w:font w:name="NEPKG N+ Avant Garde">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16D0" w14:textId="77777777" w:rsidR="00955973" w:rsidRDefault="00CC7D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D047" w14:textId="77777777" w:rsidR="00955973" w:rsidRDefault="00CC7D45">
    <w:pPr>
      <w:pStyle w:val="Piedepgina"/>
    </w:pPr>
    <w:r>
      <w:fldChar w:fldCharType="begin"/>
    </w:r>
    <w:r>
      <w:instrText xml:space="preserve"> PAGE </w:instrText>
    </w:r>
    <w:r>
      <w:fldChar w:fldCharType="separate"/>
    </w:r>
    <w:r>
      <w:t>7</w:t>
    </w:r>
    <w:r>
      <w:fldChar w:fldCharType="end"/>
    </w:r>
  </w:p>
  <w:p w14:paraId="0A68EA32" w14:textId="77777777" w:rsidR="00955973" w:rsidRDefault="00CC7D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A7A3" w14:textId="77777777" w:rsidR="00CC7D45" w:rsidRDefault="00CC7D45">
      <w:r>
        <w:rPr>
          <w:color w:val="000000"/>
        </w:rPr>
        <w:separator/>
      </w:r>
    </w:p>
  </w:footnote>
  <w:footnote w:type="continuationSeparator" w:id="0">
    <w:p w14:paraId="1FDE956C" w14:textId="77777777" w:rsidR="00CC7D45" w:rsidRDefault="00CC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7C42" w14:textId="77777777" w:rsidR="00955973" w:rsidRDefault="00CC7D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0321" w14:textId="77777777" w:rsidR="00955973" w:rsidRDefault="00CC7D45">
    <w:pPr>
      <w:pStyle w:val="Encabezado"/>
      <w:jc w:val="right"/>
    </w:pPr>
    <w:r>
      <w:rPr>
        <w:b/>
        <w:color w:val="808080"/>
        <w:sz w:val="24"/>
        <w:szCs w:val="24"/>
        <w:lang w:eastAsia="es-ES"/>
      </w:rPr>
      <w:t xml:space="preserve"> </w:t>
    </w:r>
    <w:proofErr w:type="spellStart"/>
    <w:r>
      <w:rPr>
        <w:color w:val="009999"/>
      </w:rPr>
      <w:t>Borrador</w:t>
    </w:r>
    <w:proofErr w:type="spellEnd"/>
    <w:r>
      <w:rPr>
        <w:color w:val="009999"/>
      </w:rPr>
      <w:t xml:space="preserve"> </w:t>
    </w:r>
    <w:proofErr w:type="spellStart"/>
    <w:r>
      <w:rPr>
        <w:color w:val="009999"/>
      </w:rPr>
      <w:t>sujeto</w:t>
    </w:r>
    <w:proofErr w:type="spellEnd"/>
    <w:r>
      <w:rPr>
        <w:color w:val="009999"/>
      </w:rPr>
      <w:t xml:space="preserve"> a </w:t>
    </w:r>
    <w:proofErr w:type="spellStart"/>
    <w:r>
      <w:rPr>
        <w:color w:val="009999"/>
      </w:rPr>
      <w:t>cambios</w:t>
    </w:r>
    <w:proofErr w:type="spellEnd"/>
  </w:p>
  <w:p w14:paraId="1F2CC3A9" w14:textId="77777777" w:rsidR="00955973" w:rsidRDefault="00CC7D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FBF"/>
    <w:multiLevelType w:val="multilevel"/>
    <w:tmpl w:val="13144302"/>
    <w:styleLink w:val="WWNum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9292217"/>
    <w:multiLevelType w:val="multilevel"/>
    <w:tmpl w:val="01B0F832"/>
    <w:styleLink w:val="WWNum11"/>
    <w:lvl w:ilvl="0">
      <w:start w:val="1"/>
      <w:numFmt w:val="lowerRoman"/>
      <w:lvlText w:val="%1)"/>
      <w:lvlJc w:val="left"/>
      <w:rPr>
        <w:position w:val="0"/>
        <w:vertAlign w:val="subscript"/>
      </w:rPr>
    </w:lvl>
    <w:lvl w:ilvl="1">
      <w:start w:val="1"/>
      <w:numFmt w:val="lowerLetter"/>
      <w:lvlText w:val="%2."/>
      <w:lvlJc w:val="left"/>
      <w:rPr>
        <w:position w:val="0"/>
        <w:vertAlign w:val="subscript"/>
      </w:rPr>
    </w:lvl>
    <w:lvl w:ilvl="2">
      <w:start w:val="1"/>
      <w:numFmt w:val="lowerRoman"/>
      <w:lvlText w:val="%1.%2.%3."/>
      <w:lvlJc w:val="left"/>
      <w:rPr>
        <w:position w:val="0"/>
        <w:vertAlign w:val="subscript"/>
      </w:rPr>
    </w:lvl>
    <w:lvl w:ilvl="3">
      <w:start w:val="1"/>
      <w:numFmt w:val="decimal"/>
      <w:lvlText w:val="%1.%2.%3.%4."/>
      <w:lvlJc w:val="left"/>
      <w:rPr>
        <w:position w:val="0"/>
        <w:vertAlign w:val="subscript"/>
      </w:rPr>
    </w:lvl>
    <w:lvl w:ilvl="4">
      <w:start w:val="1"/>
      <w:numFmt w:val="lowerLetter"/>
      <w:lvlText w:val="%1.%2.%3.%4.%5."/>
      <w:lvlJc w:val="left"/>
      <w:rPr>
        <w:position w:val="0"/>
        <w:vertAlign w:val="subscript"/>
      </w:rPr>
    </w:lvl>
    <w:lvl w:ilvl="5">
      <w:start w:val="1"/>
      <w:numFmt w:val="lowerRoman"/>
      <w:lvlText w:val="%1.%2.%3.%4.%5.%6."/>
      <w:lvlJc w:val="left"/>
      <w:rPr>
        <w:position w:val="0"/>
        <w:vertAlign w:val="subscript"/>
      </w:rPr>
    </w:lvl>
    <w:lvl w:ilvl="6">
      <w:start w:val="1"/>
      <w:numFmt w:val="decimal"/>
      <w:lvlText w:val="%1.%2.%3.%4.%5.%6.%7."/>
      <w:lvlJc w:val="left"/>
      <w:rPr>
        <w:position w:val="0"/>
        <w:vertAlign w:val="subscript"/>
      </w:rPr>
    </w:lvl>
    <w:lvl w:ilvl="7">
      <w:start w:val="1"/>
      <w:numFmt w:val="lowerLetter"/>
      <w:lvlText w:val="%1.%2.%3.%4.%5.%6.%7.%8."/>
      <w:lvlJc w:val="left"/>
      <w:rPr>
        <w:position w:val="0"/>
        <w:vertAlign w:val="subscript"/>
      </w:rPr>
    </w:lvl>
    <w:lvl w:ilvl="8">
      <w:start w:val="1"/>
      <w:numFmt w:val="lowerRoman"/>
      <w:lvlText w:val="%1.%2.%3.%4.%5.%6.%7.%8.%9."/>
      <w:lvlJc w:val="left"/>
      <w:rPr>
        <w:position w:val="0"/>
        <w:vertAlign w:val="subscript"/>
      </w:rPr>
    </w:lvl>
  </w:abstractNum>
  <w:abstractNum w:abstractNumId="2" w15:restartNumberingAfterBreak="0">
    <w:nsid w:val="0EEB7AD1"/>
    <w:multiLevelType w:val="multilevel"/>
    <w:tmpl w:val="00C042B0"/>
    <w:styleLink w:val="WWNum23"/>
    <w:lvl w:ilvl="0">
      <w:start w:val="1"/>
      <w:numFmt w:val="decimal"/>
      <w:lvlText w:val="%1."/>
      <w:lvlJc w:val="left"/>
      <w:pPr>
        <w:ind w:left="360" w:hanging="360"/>
      </w:pPr>
    </w:lvl>
    <w:lvl w:ilvl="1">
      <w:start w:val="1"/>
      <w:numFmt w:val="decimal"/>
      <w:lvlText w:val="%1.%2."/>
      <w:lvlJc w:val="left"/>
      <w:pPr>
        <w:ind w:left="907" w:hanging="54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A0D6D"/>
    <w:multiLevelType w:val="multilevel"/>
    <w:tmpl w:val="A5E85694"/>
    <w:styleLink w:val="WWNum3"/>
    <w:lvl w:ilvl="0">
      <w:start w:val="1"/>
      <w:numFmt w:val="lowerLetter"/>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8F3DF1"/>
    <w:multiLevelType w:val="multilevel"/>
    <w:tmpl w:val="ECD8DE1A"/>
    <w:styleLink w:val="WWNum2"/>
    <w:lvl w:ilvl="0">
      <w:start w:val="1"/>
      <w:numFmt w:val="decimal"/>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6C46E2"/>
    <w:multiLevelType w:val="multilevel"/>
    <w:tmpl w:val="08A02C92"/>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BCC07B5"/>
    <w:multiLevelType w:val="multilevel"/>
    <w:tmpl w:val="9CCE0894"/>
    <w:styleLink w:val="WWNum16"/>
    <w:lvl w:ilvl="0">
      <w:start w:val="1"/>
      <w:numFmt w:val="lowerLetter"/>
      <w:lvlText w:val="%1)"/>
      <w:lvlJc w:val="left"/>
      <w:pPr>
        <w:ind w:left="1068"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1BCD4E0D"/>
    <w:multiLevelType w:val="multilevel"/>
    <w:tmpl w:val="0792AE2A"/>
    <w:styleLink w:val="WWNum10"/>
    <w:lvl w:ilvl="0">
      <w:start w:val="1"/>
      <w:numFmt w:val="lowerRoman"/>
      <w:lvlText w:val="%1)"/>
      <w:lvlJc w:val="left"/>
      <w:rPr>
        <w:position w:val="0"/>
        <w:vertAlign w:val="subscript"/>
      </w:rPr>
    </w:lvl>
    <w:lvl w:ilvl="1">
      <w:start w:val="1"/>
      <w:numFmt w:val="lowerLetter"/>
      <w:lvlText w:val="%2."/>
      <w:lvlJc w:val="left"/>
      <w:rPr>
        <w:position w:val="0"/>
        <w:vertAlign w:val="subscript"/>
      </w:rPr>
    </w:lvl>
    <w:lvl w:ilvl="2">
      <w:start w:val="1"/>
      <w:numFmt w:val="lowerRoman"/>
      <w:lvlText w:val="%1.%2.%3."/>
      <w:lvlJc w:val="left"/>
      <w:rPr>
        <w:position w:val="0"/>
        <w:vertAlign w:val="subscript"/>
      </w:rPr>
    </w:lvl>
    <w:lvl w:ilvl="3">
      <w:start w:val="1"/>
      <w:numFmt w:val="decimal"/>
      <w:lvlText w:val="%1.%2.%3.%4."/>
      <w:lvlJc w:val="left"/>
      <w:rPr>
        <w:position w:val="0"/>
        <w:vertAlign w:val="subscript"/>
      </w:rPr>
    </w:lvl>
    <w:lvl w:ilvl="4">
      <w:start w:val="1"/>
      <w:numFmt w:val="lowerLetter"/>
      <w:lvlText w:val="%1.%2.%3.%4.%5."/>
      <w:lvlJc w:val="left"/>
      <w:rPr>
        <w:position w:val="0"/>
        <w:vertAlign w:val="subscript"/>
      </w:rPr>
    </w:lvl>
    <w:lvl w:ilvl="5">
      <w:start w:val="1"/>
      <w:numFmt w:val="lowerRoman"/>
      <w:lvlText w:val="%1.%2.%3.%4.%5.%6."/>
      <w:lvlJc w:val="left"/>
      <w:rPr>
        <w:position w:val="0"/>
        <w:vertAlign w:val="subscript"/>
      </w:rPr>
    </w:lvl>
    <w:lvl w:ilvl="6">
      <w:start w:val="1"/>
      <w:numFmt w:val="decimal"/>
      <w:lvlText w:val="%1.%2.%3.%4.%5.%6.%7."/>
      <w:lvlJc w:val="left"/>
      <w:rPr>
        <w:position w:val="0"/>
        <w:vertAlign w:val="subscript"/>
      </w:rPr>
    </w:lvl>
    <w:lvl w:ilvl="7">
      <w:start w:val="1"/>
      <w:numFmt w:val="lowerLetter"/>
      <w:lvlText w:val="%1.%2.%3.%4.%5.%6.%7.%8."/>
      <w:lvlJc w:val="left"/>
      <w:rPr>
        <w:position w:val="0"/>
        <w:vertAlign w:val="subscript"/>
      </w:rPr>
    </w:lvl>
    <w:lvl w:ilvl="8">
      <w:start w:val="1"/>
      <w:numFmt w:val="lowerRoman"/>
      <w:lvlText w:val="%1.%2.%3.%4.%5.%6.%7.%8.%9."/>
      <w:lvlJc w:val="left"/>
      <w:rPr>
        <w:position w:val="0"/>
        <w:vertAlign w:val="subscript"/>
      </w:rPr>
    </w:lvl>
  </w:abstractNum>
  <w:abstractNum w:abstractNumId="8" w15:restartNumberingAfterBreak="0">
    <w:nsid w:val="1C564985"/>
    <w:multiLevelType w:val="multilevel"/>
    <w:tmpl w:val="6688F000"/>
    <w:styleLink w:val="WWNum26"/>
    <w:lvl w:ilvl="0">
      <w:start w:val="2"/>
      <w:numFmt w:val="none"/>
      <w:lvlText w:val="%18"/>
      <w:lvlJc w:val="left"/>
      <w:pPr>
        <w:ind w:left="360" w:hanging="360"/>
      </w:pPr>
    </w:lvl>
    <w:lvl w:ilvl="1">
      <w:start w:val="1"/>
      <w:numFmt w:val="decimal"/>
      <w:lvlText w:val="7.%2"/>
      <w:lvlJc w:val="left"/>
      <w:pPr>
        <w:ind w:left="624" w:hanging="62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E99088C"/>
    <w:multiLevelType w:val="multilevel"/>
    <w:tmpl w:val="211ED05E"/>
    <w:styleLink w:val="WWNum1"/>
    <w:lvl w:ilvl="0">
      <w:start w:val="1"/>
      <w:numFmt w:val="none"/>
      <w:lvlText w:val="%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0" w:hanging="425"/>
      </w:pPr>
    </w:lvl>
    <w:lvl w:ilvl="4">
      <w:start w:val="1"/>
      <w:numFmt w:val="none"/>
      <w:lvlText w:val="%5"/>
      <w:lvlJc w:val="left"/>
      <w:pPr>
        <w:ind w:left="284" w:hanging="284"/>
      </w:pPr>
    </w:lvl>
    <w:lvl w:ilvl="5">
      <w:start w:val="1"/>
      <w:numFmt w:val="none"/>
      <w:lvlText w:val="%6"/>
      <w:lvlJc w:val="left"/>
      <w:pPr>
        <w:ind w:left="284" w:firstLine="0"/>
      </w:pPr>
    </w:lvl>
    <w:lvl w:ilvl="6">
      <w:start w:val="1"/>
      <w:numFmt w:val="none"/>
      <w:lvlText w:val="%7"/>
      <w:lvlJc w:val="left"/>
      <w:pPr>
        <w:ind w:left="26" w:firstLine="682"/>
      </w:pPr>
    </w:lvl>
    <w:lvl w:ilvl="7">
      <w:start w:val="1"/>
      <w:numFmt w:val="none"/>
      <w:lvlText w:val="%8"/>
      <w:lvlJc w:val="left"/>
      <w:pPr>
        <w:ind w:left="708" w:firstLine="12"/>
      </w:pPr>
    </w:lvl>
    <w:lvl w:ilvl="8">
      <w:start w:val="1"/>
      <w:numFmt w:val="none"/>
      <w:lvlText w:val="%9"/>
      <w:lvlJc w:val="left"/>
      <w:pPr>
        <w:ind w:left="397" w:hanging="397"/>
      </w:pPr>
    </w:lvl>
  </w:abstractNum>
  <w:abstractNum w:abstractNumId="10" w15:restartNumberingAfterBreak="0">
    <w:nsid w:val="26F827D0"/>
    <w:multiLevelType w:val="multilevel"/>
    <w:tmpl w:val="45A2C06C"/>
    <w:styleLink w:val="WWNum12"/>
    <w:lvl w:ilvl="0">
      <w:start w:val="1"/>
      <w:numFmt w:val="lowerRoman"/>
      <w:lvlText w:val="%1)"/>
      <w:lvlJc w:val="left"/>
      <w:rPr>
        <w:position w:val="0"/>
        <w:vertAlign w:val="subscript"/>
      </w:rPr>
    </w:lvl>
    <w:lvl w:ilvl="1">
      <w:start w:val="1"/>
      <w:numFmt w:val="lowerLetter"/>
      <w:lvlText w:val="%2."/>
      <w:lvlJc w:val="left"/>
      <w:rPr>
        <w:position w:val="0"/>
        <w:vertAlign w:val="subscript"/>
      </w:rPr>
    </w:lvl>
    <w:lvl w:ilvl="2">
      <w:start w:val="1"/>
      <w:numFmt w:val="lowerRoman"/>
      <w:lvlText w:val="%1.%2.%3."/>
      <w:lvlJc w:val="left"/>
      <w:rPr>
        <w:position w:val="0"/>
        <w:vertAlign w:val="subscript"/>
      </w:rPr>
    </w:lvl>
    <w:lvl w:ilvl="3">
      <w:start w:val="1"/>
      <w:numFmt w:val="decimal"/>
      <w:lvlText w:val="%1.%2.%3.%4."/>
      <w:lvlJc w:val="left"/>
      <w:rPr>
        <w:position w:val="0"/>
        <w:vertAlign w:val="subscript"/>
      </w:rPr>
    </w:lvl>
    <w:lvl w:ilvl="4">
      <w:start w:val="1"/>
      <w:numFmt w:val="lowerLetter"/>
      <w:lvlText w:val="%1.%2.%3.%4.%5."/>
      <w:lvlJc w:val="left"/>
      <w:rPr>
        <w:position w:val="0"/>
        <w:vertAlign w:val="subscript"/>
      </w:rPr>
    </w:lvl>
    <w:lvl w:ilvl="5">
      <w:start w:val="1"/>
      <w:numFmt w:val="lowerRoman"/>
      <w:lvlText w:val="%1.%2.%3.%4.%5.%6."/>
      <w:lvlJc w:val="left"/>
      <w:rPr>
        <w:position w:val="0"/>
        <w:vertAlign w:val="subscript"/>
      </w:rPr>
    </w:lvl>
    <w:lvl w:ilvl="6">
      <w:start w:val="1"/>
      <w:numFmt w:val="decimal"/>
      <w:lvlText w:val="%1.%2.%3.%4.%5.%6.%7."/>
      <w:lvlJc w:val="left"/>
      <w:rPr>
        <w:position w:val="0"/>
        <w:vertAlign w:val="subscript"/>
      </w:rPr>
    </w:lvl>
    <w:lvl w:ilvl="7">
      <w:start w:val="1"/>
      <w:numFmt w:val="lowerLetter"/>
      <w:lvlText w:val="%1.%2.%3.%4.%5.%6.%7.%8."/>
      <w:lvlJc w:val="left"/>
      <w:rPr>
        <w:position w:val="0"/>
        <w:vertAlign w:val="subscript"/>
      </w:rPr>
    </w:lvl>
    <w:lvl w:ilvl="8">
      <w:start w:val="1"/>
      <w:numFmt w:val="lowerRoman"/>
      <w:lvlText w:val="%1.%2.%3.%4.%5.%6.%7.%8.%9."/>
      <w:lvlJc w:val="left"/>
      <w:rPr>
        <w:position w:val="0"/>
        <w:vertAlign w:val="subscript"/>
      </w:rPr>
    </w:lvl>
  </w:abstractNum>
  <w:abstractNum w:abstractNumId="11" w15:restartNumberingAfterBreak="0">
    <w:nsid w:val="286D1121"/>
    <w:multiLevelType w:val="multilevel"/>
    <w:tmpl w:val="C5920F16"/>
    <w:styleLink w:val="Outline"/>
    <w:lvl w:ilvl="0">
      <w:start w:val="1"/>
      <w:numFmt w:val="upperRoman"/>
      <w:lvlText w:val="%1."/>
      <w:lvlJc w:val="right"/>
      <w:pPr>
        <w:ind w:left="720" w:hanging="360"/>
      </w:pPr>
      <w:rPr>
        <w:b/>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0" w:hanging="425"/>
      </w:pPr>
    </w:lvl>
    <w:lvl w:ilvl="4">
      <w:start w:val="1"/>
      <w:numFmt w:val="none"/>
      <w:lvlText w:val="%5"/>
      <w:lvlJc w:val="left"/>
      <w:pPr>
        <w:ind w:left="284" w:hanging="284"/>
      </w:pPr>
    </w:lvl>
    <w:lvl w:ilvl="5">
      <w:start w:val="1"/>
      <w:numFmt w:val="none"/>
      <w:lvlText w:val="%6"/>
      <w:lvlJc w:val="left"/>
      <w:pPr>
        <w:ind w:left="284" w:firstLine="0"/>
      </w:pPr>
    </w:lvl>
    <w:lvl w:ilvl="6">
      <w:start w:val="1"/>
      <w:numFmt w:val="none"/>
      <w:lvlText w:val="%7"/>
      <w:lvlJc w:val="left"/>
      <w:pPr>
        <w:ind w:left="26" w:firstLine="682"/>
      </w:pPr>
    </w:lvl>
    <w:lvl w:ilvl="7">
      <w:start w:val="1"/>
      <w:numFmt w:val="none"/>
      <w:lvlText w:val="%8"/>
      <w:lvlJc w:val="left"/>
      <w:pPr>
        <w:ind w:left="708" w:firstLine="12"/>
      </w:pPr>
    </w:lvl>
    <w:lvl w:ilvl="8">
      <w:start w:val="1"/>
      <w:numFmt w:val="none"/>
      <w:lvlText w:val="%9"/>
      <w:lvlJc w:val="left"/>
      <w:pPr>
        <w:ind w:left="397" w:hanging="397"/>
      </w:pPr>
    </w:lvl>
  </w:abstractNum>
  <w:abstractNum w:abstractNumId="12" w15:restartNumberingAfterBreak="0">
    <w:nsid w:val="28F27EA7"/>
    <w:multiLevelType w:val="multilevel"/>
    <w:tmpl w:val="30ACB886"/>
    <w:styleLink w:val="WWNum32"/>
    <w:lvl w:ilvl="0">
      <w:start w:val="1"/>
      <w:numFmt w:val="lowerLetter"/>
      <w:lvlText w:val="%1)"/>
      <w:lvlJc w:val="left"/>
      <w:rPr>
        <w:position w:val="0"/>
        <w:vertAlign w:val="subscript"/>
      </w:rPr>
    </w:lvl>
    <w:lvl w:ilvl="1">
      <w:start w:val="1"/>
      <w:numFmt w:val="lowerLetter"/>
      <w:lvlText w:val="%2."/>
      <w:lvlJc w:val="left"/>
      <w:rPr>
        <w:rFonts w:eastAsia="Calibri" w:cs="Calibri"/>
        <w:position w:val="0"/>
        <w:vertAlign w:val="subscript"/>
      </w:rPr>
    </w:lvl>
    <w:lvl w:ilvl="2">
      <w:start w:val="1"/>
      <w:numFmt w:val="lowerRoman"/>
      <w:lvlText w:val="%1.%2.%3."/>
      <w:lvlJc w:val="left"/>
      <w:rPr>
        <w:position w:val="0"/>
        <w:vertAlign w:val="subscript"/>
      </w:rPr>
    </w:lvl>
    <w:lvl w:ilvl="3">
      <w:start w:val="1"/>
      <w:numFmt w:val="decimal"/>
      <w:lvlText w:val="%1.%2.%3.%4."/>
      <w:lvlJc w:val="left"/>
      <w:rPr>
        <w:position w:val="0"/>
        <w:vertAlign w:val="subscript"/>
      </w:rPr>
    </w:lvl>
    <w:lvl w:ilvl="4">
      <w:start w:val="1"/>
      <w:numFmt w:val="lowerLetter"/>
      <w:lvlText w:val="%1.%2.%3.%4.%5."/>
      <w:lvlJc w:val="left"/>
      <w:rPr>
        <w:position w:val="0"/>
        <w:vertAlign w:val="subscript"/>
      </w:rPr>
    </w:lvl>
    <w:lvl w:ilvl="5">
      <w:start w:val="1"/>
      <w:numFmt w:val="lowerRoman"/>
      <w:lvlText w:val="%1.%2.%3.%4.%5.%6."/>
      <w:lvlJc w:val="left"/>
      <w:rPr>
        <w:position w:val="0"/>
        <w:vertAlign w:val="subscript"/>
      </w:rPr>
    </w:lvl>
    <w:lvl w:ilvl="6">
      <w:start w:val="1"/>
      <w:numFmt w:val="decimal"/>
      <w:lvlText w:val="%1.%2.%3.%4.%5.%6.%7."/>
      <w:lvlJc w:val="left"/>
      <w:rPr>
        <w:position w:val="0"/>
        <w:vertAlign w:val="subscript"/>
      </w:rPr>
    </w:lvl>
    <w:lvl w:ilvl="7">
      <w:start w:val="1"/>
      <w:numFmt w:val="lowerLetter"/>
      <w:lvlText w:val="%1.%2.%3.%4.%5.%6.%7.%8."/>
      <w:lvlJc w:val="left"/>
      <w:rPr>
        <w:position w:val="0"/>
        <w:vertAlign w:val="subscript"/>
      </w:rPr>
    </w:lvl>
    <w:lvl w:ilvl="8">
      <w:start w:val="1"/>
      <w:numFmt w:val="lowerRoman"/>
      <w:lvlText w:val="%1.%2.%3.%4.%5.%6.%7.%8.%9."/>
      <w:lvlJc w:val="left"/>
      <w:rPr>
        <w:position w:val="0"/>
        <w:vertAlign w:val="subscript"/>
      </w:rPr>
    </w:lvl>
  </w:abstractNum>
  <w:abstractNum w:abstractNumId="13" w15:restartNumberingAfterBreak="0">
    <w:nsid w:val="2FC25321"/>
    <w:multiLevelType w:val="multilevel"/>
    <w:tmpl w:val="B29A36EA"/>
    <w:styleLink w:val="WWNum25"/>
    <w:lvl w:ilvl="0">
      <w:start w:val="2"/>
      <w:numFmt w:val="none"/>
      <w:lvlText w:val="%17"/>
      <w:lvlJc w:val="left"/>
      <w:pPr>
        <w:ind w:left="360" w:hanging="360"/>
      </w:pPr>
    </w:lvl>
    <w:lvl w:ilvl="1">
      <w:start w:val="1"/>
      <w:numFmt w:val="decimal"/>
      <w:lvlText w:val="6.%2"/>
      <w:lvlJc w:val="left"/>
      <w:pPr>
        <w:ind w:left="624" w:hanging="62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C97624"/>
    <w:multiLevelType w:val="multilevel"/>
    <w:tmpl w:val="4F9684E0"/>
    <w:styleLink w:val="WWNum33"/>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7895118"/>
    <w:multiLevelType w:val="multilevel"/>
    <w:tmpl w:val="7B1429B6"/>
    <w:styleLink w:val="WWNum30"/>
    <w:lvl w:ilvl="0">
      <w:start w:val="2"/>
      <w:numFmt w:val="decimal"/>
      <w:lvlText w:val="%1"/>
      <w:lvlJc w:val="left"/>
      <w:pPr>
        <w:ind w:left="360" w:hanging="360"/>
      </w:pPr>
    </w:lvl>
    <w:lvl w:ilvl="1">
      <w:start w:val="5"/>
      <w:numFmt w:val="decimal"/>
      <w:lvlText w:val="%1.%2"/>
      <w:lvlJc w:val="left"/>
      <w:pPr>
        <w:ind w:left="624" w:hanging="62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79927BA"/>
    <w:multiLevelType w:val="multilevel"/>
    <w:tmpl w:val="A478F83C"/>
    <w:styleLink w:val="WWNum17"/>
    <w:lvl w:ilvl="0">
      <w:start w:val="1"/>
      <w:numFmt w:val="upperLetter"/>
      <w:lvlText w:val="%1)"/>
      <w:lvlJc w:val="left"/>
      <w:pPr>
        <w:ind w:left="1155" w:hanging="45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7B319AD"/>
    <w:multiLevelType w:val="multilevel"/>
    <w:tmpl w:val="7C36A748"/>
    <w:styleLink w:val="WWNum13"/>
    <w:lvl w:ilvl="0">
      <w:start w:val="1"/>
      <w:numFmt w:val="lowerRoman"/>
      <w:lvlText w:val="%1)"/>
      <w:lvlJc w:val="left"/>
      <w:rPr>
        <w:position w:val="0"/>
        <w:vertAlign w:val="subscript"/>
      </w:rPr>
    </w:lvl>
    <w:lvl w:ilvl="1">
      <w:start w:val="1"/>
      <w:numFmt w:val="lowerLetter"/>
      <w:lvlText w:val="%2."/>
      <w:lvlJc w:val="left"/>
      <w:rPr>
        <w:position w:val="0"/>
        <w:vertAlign w:val="subscript"/>
      </w:rPr>
    </w:lvl>
    <w:lvl w:ilvl="2">
      <w:start w:val="1"/>
      <w:numFmt w:val="lowerRoman"/>
      <w:lvlText w:val="%1.%2.%3."/>
      <w:lvlJc w:val="left"/>
      <w:rPr>
        <w:position w:val="0"/>
        <w:vertAlign w:val="subscript"/>
      </w:rPr>
    </w:lvl>
    <w:lvl w:ilvl="3">
      <w:start w:val="1"/>
      <w:numFmt w:val="decimal"/>
      <w:lvlText w:val="%1.%2.%3.%4."/>
      <w:lvlJc w:val="left"/>
      <w:rPr>
        <w:position w:val="0"/>
        <w:vertAlign w:val="subscript"/>
      </w:rPr>
    </w:lvl>
    <w:lvl w:ilvl="4">
      <w:start w:val="1"/>
      <w:numFmt w:val="lowerLetter"/>
      <w:lvlText w:val="%1.%2.%3.%4.%5."/>
      <w:lvlJc w:val="left"/>
      <w:rPr>
        <w:position w:val="0"/>
        <w:vertAlign w:val="subscript"/>
      </w:rPr>
    </w:lvl>
    <w:lvl w:ilvl="5">
      <w:start w:val="1"/>
      <w:numFmt w:val="lowerRoman"/>
      <w:lvlText w:val="%1.%2.%3.%4.%5.%6."/>
      <w:lvlJc w:val="left"/>
      <w:rPr>
        <w:position w:val="0"/>
        <w:vertAlign w:val="subscript"/>
      </w:rPr>
    </w:lvl>
    <w:lvl w:ilvl="6">
      <w:start w:val="1"/>
      <w:numFmt w:val="decimal"/>
      <w:lvlText w:val="%1.%2.%3.%4.%5.%6.%7."/>
      <w:lvlJc w:val="left"/>
      <w:rPr>
        <w:position w:val="0"/>
        <w:vertAlign w:val="subscript"/>
      </w:rPr>
    </w:lvl>
    <w:lvl w:ilvl="7">
      <w:start w:val="1"/>
      <w:numFmt w:val="lowerLetter"/>
      <w:lvlText w:val="%1.%2.%3.%4.%5.%6.%7.%8."/>
      <w:lvlJc w:val="left"/>
      <w:rPr>
        <w:position w:val="0"/>
        <w:vertAlign w:val="subscript"/>
      </w:rPr>
    </w:lvl>
    <w:lvl w:ilvl="8">
      <w:start w:val="1"/>
      <w:numFmt w:val="lowerRoman"/>
      <w:lvlText w:val="%1.%2.%3.%4.%5.%6.%7.%8.%9."/>
      <w:lvlJc w:val="left"/>
      <w:rPr>
        <w:position w:val="0"/>
        <w:vertAlign w:val="subscript"/>
      </w:rPr>
    </w:lvl>
  </w:abstractNum>
  <w:abstractNum w:abstractNumId="18" w15:restartNumberingAfterBreak="0">
    <w:nsid w:val="4C5107CF"/>
    <w:multiLevelType w:val="multilevel"/>
    <w:tmpl w:val="7A0EF86E"/>
    <w:styleLink w:val="WWNum31"/>
    <w:lvl w:ilvl="0">
      <w:start w:val="1"/>
      <w:numFmt w:val="lowerLetter"/>
      <w:lvlText w:val="%1)"/>
      <w:lvlJc w:val="left"/>
      <w:rPr>
        <w:position w:val="0"/>
        <w:vertAlign w:val="subscript"/>
      </w:rPr>
    </w:lvl>
    <w:lvl w:ilvl="1">
      <w:start w:val="1"/>
      <w:numFmt w:val="lowerLetter"/>
      <w:lvlText w:val="%2."/>
      <w:lvlJc w:val="left"/>
      <w:rPr>
        <w:rFonts w:eastAsia="Calibri" w:cs="Calibri"/>
        <w:position w:val="0"/>
        <w:vertAlign w:val="subscript"/>
      </w:rPr>
    </w:lvl>
    <w:lvl w:ilvl="2">
      <w:start w:val="1"/>
      <w:numFmt w:val="lowerRoman"/>
      <w:lvlText w:val="%1.%2.%3."/>
      <w:lvlJc w:val="left"/>
      <w:rPr>
        <w:position w:val="0"/>
        <w:vertAlign w:val="subscript"/>
      </w:rPr>
    </w:lvl>
    <w:lvl w:ilvl="3">
      <w:start w:val="1"/>
      <w:numFmt w:val="decimal"/>
      <w:lvlText w:val="%1.%2.%3.%4."/>
      <w:lvlJc w:val="left"/>
      <w:rPr>
        <w:position w:val="0"/>
        <w:vertAlign w:val="subscript"/>
      </w:rPr>
    </w:lvl>
    <w:lvl w:ilvl="4">
      <w:start w:val="1"/>
      <w:numFmt w:val="lowerLetter"/>
      <w:lvlText w:val="%1.%2.%3.%4.%5."/>
      <w:lvlJc w:val="left"/>
      <w:rPr>
        <w:position w:val="0"/>
        <w:vertAlign w:val="subscript"/>
      </w:rPr>
    </w:lvl>
    <w:lvl w:ilvl="5">
      <w:start w:val="1"/>
      <w:numFmt w:val="lowerRoman"/>
      <w:lvlText w:val="%1.%2.%3.%4.%5.%6."/>
      <w:lvlJc w:val="left"/>
      <w:rPr>
        <w:position w:val="0"/>
        <w:vertAlign w:val="subscript"/>
      </w:rPr>
    </w:lvl>
    <w:lvl w:ilvl="6">
      <w:start w:val="1"/>
      <w:numFmt w:val="decimal"/>
      <w:lvlText w:val="%1.%2.%3.%4.%5.%6.%7."/>
      <w:lvlJc w:val="left"/>
      <w:rPr>
        <w:position w:val="0"/>
        <w:vertAlign w:val="subscript"/>
      </w:rPr>
    </w:lvl>
    <w:lvl w:ilvl="7">
      <w:start w:val="1"/>
      <w:numFmt w:val="lowerLetter"/>
      <w:lvlText w:val="%1.%2.%3.%4.%5.%6.%7.%8."/>
      <w:lvlJc w:val="left"/>
      <w:rPr>
        <w:position w:val="0"/>
        <w:vertAlign w:val="subscript"/>
      </w:rPr>
    </w:lvl>
    <w:lvl w:ilvl="8">
      <w:start w:val="1"/>
      <w:numFmt w:val="lowerRoman"/>
      <w:lvlText w:val="%1.%2.%3.%4.%5.%6.%7.%8.%9."/>
      <w:lvlJc w:val="left"/>
      <w:rPr>
        <w:position w:val="0"/>
        <w:vertAlign w:val="subscript"/>
      </w:rPr>
    </w:lvl>
  </w:abstractNum>
  <w:abstractNum w:abstractNumId="19" w15:restartNumberingAfterBreak="0">
    <w:nsid w:val="4D3D6D1C"/>
    <w:multiLevelType w:val="multilevel"/>
    <w:tmpl w:val="1CD0975A"/>
    <w:styleLink w:val="WWNum28"/>
    <w:lvl w:ilvl="0">
      <w:numFmt w:val="bullet"/>
      <w:lvlText w:val=""/>
      <w:lvlJc w:val="left"/>
      <w:pPr>
        <w:ind w:left="984" w:hanging="360"/>
      </w:pPr>
      <w:rPr>
        <w:rFonts w:ascii="Symbol" w:eastAsia="Calibri" w:hAnsi="Symbol" w:cs="Times New Roman"/>
      </w:rPr>
    </w:lvl>
    <w:lvl w:ilvl="1">
      <w:numFmt w:val="bullet"/>
      <w:lvlText w:val="o"/>
      <w:lvlJc w:val="left"/>
      <w:pPr>
        <w:ind w:left="1704" w:hanging="360"/>
      </w:pPr>
      <w:rPr>
        <w:rFonts w:ascii="Courier New" w:hAnsi="Courier New" w:cs="Courier New"/>
      </w:rPr>
    </w:lvl>
    <w:lvl w:ilvl="2">
      <w:numFmt w:val="bullet"/>
      <w:lvlText w:val=""/>
      <w:lvlJc w:val="left"/>
      <w:pPr>
        <w:ind w:left="2424" w:hanging="360"/>
      </w:pPr>
      <w:rPr>
        <w:rFonts w:ascii="Wingdings" w:hAnsi="Wingdings"/>
      </w:rPr>
    </w:lvl>
    <w:lvl w:ilvl="3">
      <w:numFmt w:val="bullet"/>
      <w:lvlText w:val=""/>
      <w:lvlJc w:val="left"/>
      <w:pPr>
        <w:ind w:left="3144" w:hanging="360"/>
      </w:pPr>
      <w:rPr>
        <w:rFonts w:ascii="Symbol" w:hAnsi="Symbol"/>
      </w:rPr>
    </w:lvl>
    <w:lvl w:ilvl="4">
      <w:numFmt w:val="bullet"/>
      <w:lvlText w:val="o"/>
      <w:lvlJc w:val="left"/>
      <w:pPr>
        <w:ind w:left="3864" w:hanging="360"/>
      </w:pPr>
      <w:rPr>
        <w:rFonts w:ascii="Courier New" w:hAnsi="Courier New" w:cs="Courier New"/>
      </w:rPr>
    </w:lvl>
    <w:lvl w:ilvl="5">
      <w:numFmt w:val="bullet"/>
      <w:lvlText w:val=""/>
      <w:lvlJc w:val="left"/>
      <w:pPr>
        <w:ind w:left="4584" w:hanging="360"/>
      </w:pPr>
      <w:rPr>
        <w:rFonts w:ascii="Wingdings" w:hAnsi="Wingdings"/>
      </w:rPr>
    </w:lvl>
    <w:lvl w:ilvl="6">
      <w:numFmt w:val="bullet"/>
      <w:lvlText w:val=""/>
      <w:lvlJc w:val="left"/>
      <w:pPr>
        <w:ind w:left="5304" w:hanging="360"/>
      </w:pPr>
      <w:rPr>
        <w:rFonts w:ascii="Symbol" w:hAnsi="Symbol"/>
      </w:rPr>
    </w:lvl>
    <w:lvl w:ilvl="7">
      <w:numFmt w:val="bullet"/>
      <w:lvlText w:val="o"/>
      <w:lvlJc w:val="left"/>
      <w:pPr>
        <w:ind w:left="6024" w:hanging="360"/>
      </w:pPr>
      <w:rPr>
        <w:rFonts w:ascii="Courier New" w:hAnsi="Courier New" w:cs="Courier New"/>
      </w:rPr>
    </w:lvl>
    <w:lvl w:ilvl="8">
      <w:numFmt w:val="bullet"/>
      <w:lvlText w:val=""/>
      <w:lvlJc w:val="left"/>
      <w:pPr>
        <w:ind w:left="6744" w:hanging="360"/>
      </w:pPr>
      <w:rPr>
        <w:rFonts w:ascii="Wingdings" w:hAnsi="Wingdings"/>
      </w:rPr>
    </w:lvl>
  </w:abstractNum>
  <w:abstractNum w:abstractNumId="20" w15:restartNumberingAfterBreak="0">
    <w:nsid w:val="4DC54B99"/>
    <w:multiLevelType w:val="multilevel"/>
    <w:tmpl w:val="CEAE7B76"/>
    <w:styleLink w:val="WWNum21"/>
    <w:lvl w:ilvl="0">
      <w:numFmt w:val="bullet"/>
      <w:lvlText w:val="-"/>
      <w:lvlJc w:val="left"/>
      <w:pPr>
        <w:ind w:left="720" w:hanging="360"/>
      </w:pPr>
      <w:rPr>
        <w:rFonts w:eastAsia="MS Mincho"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FCF7666"/>
    <w:multiLevelType w:val="multilevel"/>
    <w:tmpl w:val="F85EB080"/>
    <w:styleLink w:val="WWNum20"/>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B30BF0"/>
    <w:multiLevelType w:val="multilevel"/>
    <w:tmpl w:val="5FAEF1A4"/>
    <w:styleLink w:val="WWNum19"/>
    <w:lvl w:ilvl="0">
      <w:start w:val="1"/>
      <w:numFmt w:val="lowerLetter"/>
      <w:lvlText w:val="%1)"/>
      <w:lvlJc w:val="left"/>
      <w:pPr>
        <w:ind w:left="1068"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567F1765"/>
    <w:multiLevelType w:val="multilevel"/>
    <w:tmpl w:val="524ED5D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72B1F4C"/>
    <w:multiLevelType w:val="multilevel"/>
    <w:tmpl w:val="BC081242"/>
    <w:styleLink w:val="WWNum7"/>
    <w:lvl w:ilvl="0">
      <w:start w:val="1"/>
      <w:numFmt w:val="decimal"/>
      <w:lvlText w:val="%1."/>
      <w:lvlJc w:val="left"/>
      <w:pPr>
        <w:ind w:left="1440" w:hanging="360"/>
      </w:pPr>
    </w:lvl>
    <w:lvl w:ilvl="1">
      <w:start w:val="1"/>
      <w:numFmt w:val="decimal"/>
      <w:lvlText w:val="%1.%2."/>
      <w:lvlJc w:val="left"/>
      <w:pPr>
        <w:ind w:left="1872" w:hanging="432"/>
      </w:pPr>
      <w:rPr>
        <w:lang w:val="es-ES"/>
      </w:rPr>
    </w:lvl>
    <w:lvl w:ilvl="2">
      <w:start w:val="1"/>
      <w:numFmt w:val="decimal"/>
      <w:lvlText w:val="%1.%2.%3."/>
      <w:lvlJc w:val="left"/>
      <w:pPr>
        <w:ind w:left="646" w:hanging="504"/>
      </w:pPr>
      <w:rPr>
        <w:lang w:val="es-ES"/>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5" w15:restartNumberingAfterBreak="0">
    <w:nsid w:val="69650D80"/>
    <w:multiLevelType w:val="multilevel"/>
    <w:tmpl w:val="1A8CE6E6"/>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9F06B41"/>
    <w:multiLevelType w:val="multilevel"/>
    <w:tmpl w:val="BFFE183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BF71E2A"/>
    <w:multiLevelType w:val="multilevel"/>
    <w:tmpl w:val="D00C04CA"/>
    <w:styleLink w:val="WWNum22"/>
    <w:lvl w:ilvl="0">
      <w:start w:val="2"/>
      <w:numFmt w:val="decimal"/>
      <w:lvlText w:val="%1"/>
      <w:lvlJc w:val="left"/>
      <w:pPr>
        <w:ind w:left="360" w:hanging="360"/>
      </w:pPr>
    </w:lvl>
    <w:lvl w:ilvl="1">
      <w:start w:val="1"/>
      <w:numFmt w:val="decimal"/>
      <w:lvlText w:val="%1.%2"/>
      <w:lvlJc w:val="left"/>
      <w:pPr>
        <w:ind w:left="624" w:hanging="624"/>
      </w:pPr>
      <w:rPr>
        <w:strike w:val="0"/>
        <w:d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CEA21AF"/>
    <w:multiLevelType w:val="multilevel"/>
    <w:tmpl w:val="033C76B4"/>
    <w:styleLink w:val="WWNum9"/>
    <w:lvl w:ilvl="0">
      <w:numFmt w:val="bullet"/>
      <w:lvlText w:val="•"/>
      <w:lvlJc w:val="left"/>
      <w:rPr>
        <w:position w:val="0"/>
        <w:vertAlign w:val="subscript"/>
      </w:rPr>
    </w:lvl>
    <w:lvl w:ilvl="1">
      <w:numFmt w:val="bullet"/>
      <w:lvlText w:val="o"/>
      <w:lvlJc w:val="left"/>
      <w:rPr>
        <w:position w:val="0"/>
        <w:vertAlign w:val="subscript"/>
      </w:rPr>
    </w:lvl>
    <w:lvl w:ilvl="2">
      <w:numFmt w:val="bullet"/>
      <w:lvlText w:val="▪"/>
      <w:lvlJc w:val="left"/>
      <w:rPr>
        <w:position w:val="0"/>
        <w:vertAlign w:val="subscript"/>
      </w:rPr>
    </w:lvl>
    <w:lvl w:ilvl="3">
      <w:numFmt w:val="bullet"/>
      <w:lvlText w:val="•"/>
      <w:lvlJc w:val="left"/>
      <w:rPr>
        <w:position w:val="0"/>
        <w:vertAlign w:val="subscript"/>
      </w:rPr>
    </w:lvl>
    <w:lvl w:ilvl="4">
      <w:numFmt w:val="bullet"/>
      <w:lvlText w:val="o"/>
      <w:lvlJc w:val="left"/>
      <w:rPr>
        <w:position w:val="0"/>
        <w:vertAlign w:val="subscript"/>
      </w:rPr>
    </w:lvl>
    <w:lvl w:ilvl="5">
      <w:numFmt w:val="bullet"/>
      <w:lvlText w:val="▪"/>
      <w:lvlJc w:val="left"/>
      <w:rPr>
        <w:position w:val="0"/>
        <w:vertAlign w:val="subscript"/>
      </w:rPr>
    </w:lvl>
    <w:lvl w:ilvl="6">
      <w:numFmt w:val="bullet"/>
      <w:lvlText w:val="•"/>
      <w:lvlJc w:val="left"/>
      <w:rPr>
        <w:position w:val="0"/>
        <w:vertAlign w:val="subscript"/>
      </w:rPr>
    </w:lvl>
    <w:lvl w:ilvl="7">
      <w:numFmt w:val="bullet"/>
      <w:lvlText w:val="o"/>
      <w:lvlJc w:val="left"/>
      <w:rPr>
        <w:position w:val="0"/>
        <w:vertAlign w:val="subscript"/>
      </w:rPr>
    </w:lvl>
    <w:lvl w:ilvl="8">
      <w:numFmt w:val="bullet"/>
      <w:lvlText w:val="▪"/>
      <w:lvlJc w:val="left"/>
      <w:rPr>
        <w:position w:val="0"/>
        <w:vertAlign w:val="subscript"/>
      </w:rPr>
    </w:lvl>
  </w:abstractNum>
  <w:abstractNum w:abstractNumId="29" w15:restartNumberingAfterBreak="0">
    <w:nsid w:val="6F9337F3"/>
    <w:multiLevelType w:val="multilevel"/>
    <w:tmpl w:val="6A0A7ACC"/>
    <w:styleLink w:val="WWNum24"/>
    <w:lvl w:ilvl="0">
      <w:start w:val="3"/>
      <w:numFmt w:val="decimal"/>
      <w:lvlText w:val="%1"/>
      <w:lvlJc w:val="left"/>
      <w:pPr>
        <w:ind w:left="357" w:hanging="357"/>
      </w:pPr>
      <w:rPr>
        <w:b/>
      </w:rPr>
    </w:lvl>
    <w:lvl w:ilvl="1">
      <w:start w:val="1"/>
      <w:numFmt w:val="decimal"/>
      <w:lvlText w:val="%1.%2"/>
      <w:lvlJc w:val="left"/>
      <w:pPr>
        <w:ind w:left="357" w:hanging="357"/>
      </w:pPr>
      <w:rPr>
        <w:b w:val="0"/>
      </w:rPr>
    </w:lvl>
    <w:lvl w:ilvl="2">
      <w:start w:val="1"/>
      <w:numFmt w:val="decimal"/>
      <w:lvlText w:val="%1.%2.%3"/>
      <w:lvlJc w:val="left"/>
      <w:pPr>
        <w:ind w:left="357" w:hanging="357"/>
      </w:pPr>
      <w:rPr>
        <w:b/>
      </w:rPr>
    </w:lvl>
    <w:lvl w:ilvl="3">
      <w:start w:val="1"/>
      <w:numFmt w:val="decimal"/>
      <w:lvlText w:val="%1.%2.%3.%4"/>
      <w:lvlJc w:val="left"/>
      <w:pPr>
        <w:ind w:left="357" w:hanging="357"/>
      </w:pPr>
      <w:rPr>
        <w:b/>
      </w:rPr>
    </w:lvl>
    <w:lvl w:ilvl="4">
      <w:start w:val="1"/>
      <w:numFmt w:val="decimal"/>
      <w:lvlText w:val="%1.%2.%3.%4.%5"/>
      <w:lvlJc w:val="left"/>
      <w:pPr>
        <w:ind w:left="357" w:hanging="357"/>
      </w:pPr>
      <w:rPr>
        <w:b/>
      </w:rPr>
    </w:lvl>
    <w:lvl w:ilvl="5">
      <w:start w:val="1"/>
      <w:numFmt w:val="decimal"/>
      <w:lvlText w:val="%1.%2.%3.%4.%5.%6"/>
      <w:lvlJc w:val="left"/>
      <w:pPr>
        <w:ind w:left="357" w:hanging="357"/>
      </w:pPr>
      <w:rPr>
        <w:b/>
      </w:rPr>
    </w:lvl>
    <w:lvl w:ilvl="6">
      <w:start w:val="1"/>
      <w:numFmt w:val="decimal"/>
      <w:lvlText w:val="%1.%2.%3.%4.%5.%6.%7"/>
      <w:lvlJc w:val="left"/>
      <w:pPr>
        <w:ind w:left="357" w:hanging="357"/>
      </w:pPr>
      <w:rPr>
        <w:b/>
      </w:rPr>
    </w:lvl>
    <w:lvl w:ilvl="7">
      <w:start w:val="1"/>
      <w:numFmt w:val="decimal"/>
      <w:lvlText w:val="%1.%2.%3.%4.%5.%6.%7.%8"/>
      <w:lvlJc w:val="left"/>
      <w:pPr>
        <w:ind w:left="357" w:hanging="357"/>
      </w:pPr>
      <w:rPr>
        <w:b/>
      </w:rPr>
    </w:lvl>
    <w:lvl w:ilvl="8">
      <w:start w:val="1"/>
      <w:numFmt w:val="decimal"/>
      <w:lvlText w:val="%1.%2.%3.%4.%5.%6.%7.%8.%9"/>
      <w:lvlJc w:val="left"/>
      <w:pPr>
        <w:ind w:left="357" w:hanging="357"/>
      </w:pPr>
      <w:rPr>
        <w:b/>
      </w:rPr>
    </w:lvl>
  </w:abstractNum>
  <w:abstractNum w:abstractNumId="30" w15:restartNumberingAfterBreak="0">
    <w:nsid w:val="70D01CD0"/>
    <w:multiLevelType w:val="multilevel"/>
    <w:tmpl w:val="30DA969E"/>
    <w:styleLink w:val="WWNum6"/>
    <w:lvl w:ilvl="0">
      <w:numFmt w:val="bullet"/>
      <w:lvlText w:val="-"/>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49377E5"/>
    <w:multiLevelType w:val="multilevel"/>
    <w:tmpl w:val="BC106C46"/>
    <w:styleLink w:val="WWNum14"/>
    <w:lvl w:ilvl="0">
      <w:numFmt w:val="bullet"/>
      <w:lvlText w:val="·"/>
      <w:lvlJc w:val="left"/>
      <w:pPr>
        <w:ind w:left="1428" w:hanging="360"/>
      </w:p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2" w15:restartNumberingAfterBreak="0">
    <w:nsid w:val="78F93D46"/>
    <w:multiLevelType w:val="multilevel"/>
    <w:tmpl w:val="E446E9B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A740CC9"/>
    <w:multiLevelType w:val="multilevel"/>
    <w:tmpl w:val="7C1016E0"/>
    <w:styleLink w:val="WWNum35"/>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D487F68"/>
    <w:multiLevelType w:val="multilevel"/>
    <w:tmpl w:val="329020B8"/>
    <w:styleLink w:val="WWNum27"/>
    <w:lvl w:ilvl="0">
      <w:start w:val="1"/>
      <w:numFmt w:val="none"/>
      <w:lvlText w:val="%14"/>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7EBF34D5"/>
    <w:multiLevelType w:val="multilevel"/>
    <w:tmpl w:val="1430DE6C"/>
    <w:styleLink w:val="WWNum29"/>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num w:numId="1">
    <w:abstractNumId w:val="11"/>
  </w:num>
  <w:num w:numId="2">
    <w:abstractNumId w:val="9"/>
  </w:num>
  <w:num w:numId="3">
    <w:abstractNumId w:val="4"/>
  </w:num>
  <w:num w:numId="4">
    <w:abstractNumId w:val="3"/>
  </w:num>
  <w:num w:numId="5">
    <w:abstractNumId w:val="26"/>
  </w:num>
  <w:num w:numId="6">
    <w:abstractNumId w:val="23"/>
  </w:num>
  <w:num w:numId="7">
    <w:abstractNumId w:val="30"/>
  </w:num>
  <w:num w:numId="8">
    <w:abstractNumId w:val="24"/>
  </w:num>
  <w:num w:numId="9">
    <w:abstractNumId w:val="32"/>
  </w:num>
  <w:num w:numId="10">
    <w:abstractNumId w:val="28"/>
  </w:num>
  <w:num w:numId="11">
    <w:abstractNumId w:val="7"/>
  </w:num>
  <w:num w:numId="12">
    <w:abstractNumId w:val="1"/>
  </w:num>
  <w:num w:numId="13">
    <w:abstractNumId w:val="10"/>
  </w:num>
  <w:num w:numId="14">
    <w:abstractNumId w:val="17"/>
  </w:num>
  <w:num w:numId="15">
    <w:abstractNumId w:val="31"/>
  </w:num>
  <w:num w:numId="16">
    <w:abstractNumId w:val="5"/>
  </w:num>
  <w:num w:numId="17">
    <w:abstractNumId w:val="6"/>
  </w:num>
  <w:num w:numId="18">
    <w:abstractNumId w:val="16"/>
  </w:num>
  <w:num w:numId="19">
    <w:abstractNumId w:val="25"/>
  </w:num>
  <w:num w:numId="20">
    <w:abstractNumId w:val="22"/>
  </w:num>
  <w:num w:numId="21">
    <w:abstractNumId w:val="21"/>
  </w:num>
  <w:num w:numId="22">
    <w:abstractNumId w:val="20"/>
  </w:num>
  <w:num w:numId="23">
    <w:abstractNumId w:val="27"/>
  </w:num>
  <w:num w:numId="24">
    <w:abstractNumId w:val="2"/>
  </w:num>
  <w:num w:numId="25">
    <w:abstractNumId w:val="29"/>
  </w:num>
  <w:num w:numId="26">
    <w:abstractNumId w:val="13"/>
  </w:num>
  <w:num w:numId="27">
    <w:abstractNumId w:val="8"/>
  </w:num>
  <w:num w:numId="28">
    <w:abstractNumId w:val="34"/>
  </w:num>
  <w:num w:numId="29">
    <w:abstractNumId w:val="19"/>
  </w:num>
  <w:num w:numId="30">
    <w:abstractNumId w:val="35"/>
  </w:num>
  <w:num w:numId="31">
    <w:abstractNumId w:val="15"/>
  </w:num>
  <w:num w:numId="32">
    <w:abstractNumId w:val="18"/>
  </w:num>
  <w:num w:numId="33">
    <w:abstractNumId w:val="12"/>
  </w:num>
  <w:num w:numId="34">
    <w:abstractNumId w:val="14"/>
  </w:num>
  <w:num w:numId="35">
    <w:abstractNumId w:val="0"/>
  </w:num>
  <w:num w:numId="36">
    <w:abstractNumId w:val="33"/>
  </w:num>
  <w:num w:numId="37">
    <w:abstractNumId w:val="14"/>
    <w:lvlOverride w:ilvl="0">
      <w:startOverride w:val="1"/>
    </w:lvlOverride>
  </w:num>
  <w:num w:numId="38">
    <w:abstractNumId w:val="0"/>
    <w:lvlOverride w:ilvl="0">
      <w:startOverride w:val="1"/>
    </w:lvlOverride>
  </w:num>
  <w:num w:numId="39">
    <w:abstractNumId w:val="19"/>
    <w:lvlOverride w:ilvl="0"/>
  </w:num>
  <w:num w:numId="40">
    <w:abstractNumId w:val="1"/>
    <w:lvlOverride w:ilvl="0">
      <w:startOverride w:val="1"/>
    </w:lvlOverride>
  </w:num>
  <w:num w:numId="41">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E7B20"/>
    <w:rsid w:val="004E7B20"/>
    <w:rsid w:val="00AF3FDA"/>
    <w:rsid w:val="00CC7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AB8A"/>
  <w15:docId w15:val="{E8827831-1001-4A97-BF37-3279935E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ES" w:eastAsia="es-E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Textbody"/>
    <w:uiPriority w:val="9"/>
    <w:qFormat/>
    <w:pPr>
      <w:keepNext/>
      <w:keepLines/>
      <w:spacing w:before="120" w:after="240"/>
      <w:ind w:right="2268"/>
      <w:outlineLvl w:val="0"/>
    </w:pPr>
    <w:rPr>
      <w:rFonts w:ascii="Arial" w:hAnsi="Arial" w:cs="Arial"/>
      <w:b/>
      <w:sz w:val="18"/>
    </w:rPr>
  </w:style>
  <w:style w:type="paragraph" w:styleId="Ttulo2">
    <w:name w:val="heading 2"/>
    <w:basedOn w:val="Ttulo1"/>
    <w:next w:val="Textbody"/>
    <w:uiPriority w:val="9"/>
    <w:semiHidden/>
    <w:unhideWhenUsed/>
    <w:qFormat/>
    <w:pPr>
      <w:outlineLvl w:val="1"/>
    </w:pPr>
    <w:rPr>
      <w:i/>
    </w:rPr>
  </w:style>
  <w:style w:type="paragraph" w:styleId="Ttulo3">
    <w:name w:val="heading 3"/>
    <w:basedOn w:val="Ttulo1"/>
    <w:next w:val="Textbody"/>
    <w:uiPriority w:val="9"/>
    <w:semiHidden/>
    <w:unhideWhenUsed/>
    <w:qFormat/>
    <w:pPr>
      <w:outlineLvl w:val="2"/>
    </w:pPr>
    <w:rPr>
      <w:b w:val="0"/>
      <w:i/>
    </w:rPr>
  </w:style>
  <w:style w:type="paragraph" w:styleId="Ttulo4">
    <w:name w:val="heading 4"/>
    <w:basedOn w:val="Standard"/>
    <w:next w:val="Textbody"/>
    <w:uiPriority w:val="9"/>
    <w:semiHidden/>
    <w:unhideWhenUsed/>
    <w:qFormat/>
    <w:pPr>
      <w:keepNext/>
      <w:keepLines/>
      <w:tabs>
        <w:tab w:val="left" w:pos="-448"/>
      </w:tabs>
      <w:spacing w:before="120" w:after="240"/>
      <w:ind w:right="2268" w:hanging="425"/>
      <w:outlineLvl w:val="3"/>
    </w:pPr>
    <w:rPr>
      <w:rFonts w:ascii="Arial" w:hAnsi="Arial" w:cs="Arial"/>
      <w:b/>
      <w:sz w:val="18"/>
      <w:u w:val="single"/>
    </w:rPr>
  </w:style>
  <w:style w:type="paragraph" w:styleId="Ttulo5">
    <w:name w:val="heading 5"/>
    <w:basedOn w:val="Ttulo4"/>
    <w:next w:val="Textbody"/>
    <w:uiPriority w:val="9"/>
    <w:semiHidden/>
    <w:unhideWhenUsed/>
    <w:qFormat/>
    <w:pPr>
      <w:ind w:left="284" w:hanging="284"/>
      <w:outlineLvl w:val="4"/>
    </w:pPr>
    <w:rPr>
      <w:i/>
      <w:u w:val="none"/>
    </w:rPr>
  </w:style>
  <w:style w:type="paragraph" w:styleId="Ttulo6">
    <w:name w:val="heading 6"/>
    <w:basedOn w:val="Ttulo5"/>
    <w:next w:val="Textbody"/>
    <w:uiPriority w:val="9"/>
    <w:semiHidden/>
    <w:unhideWhenUsed/>
    <w:qFormat/>
    <w:pPr>
      <w:ind w:firstLine="0"/>
      <w:outlineLvl w:val="5"/>
    </w:pPr>
    <w:rPr>
      <w:b w:val="0"/>
    </w:rPr>
  </w:style>
  <w:style w:type="paragraph" w:styleId="Ttulo7">
    <w:name w:val="heading 7"/>
    <w:basedOn w:val="Standard"/>
    <w:next w:val="Textbody"/>
    <w:pPr>
      <w:keepNext/>
      <w:ind w:left="26" w:firstLine="682"/>
      <w:jc w:val="both"/>
      <w:outlineLvl w:val="6"/>
    </w:pPr>
    <w:rPr>
      <w:rFonts w:ascii="Times New Roman" w:hAnsi="Times New Roman" w:cs="Times New Roman"/>
      <w:b/>
      <w:bCs/>
      <w:sz w:val="20"/>
    </w:rPr>
  </w:style>
  <w:style w:type="paragraph" w:styleId="Ttulo8">
    <w:name w:val="heading 8"/>
    <w:basedOn w:val="Standard"/>
    <w:next w:val="Textbody"/>
    <w:pPr>
      <w:keepNext/>
      <w:spacing w:after="240"/>
      <w:ind w:left="708" w:firstLine="12"/>
      <w:jc w:val="both"/>
      <w:outlineLvl w:val="7"/>
    </w:pPr>
    <w:rPr>
      <w:rFonts w:ascii="Times New Roman" w:hAnsi="Times New Roman" w:cs="Times New Roman"/>
      <w:b/>
      <w:bCs/>
      <w:sz w:val="20"/>
    </w:rPr>
  </w:style>
  <w:style w:type="paragraph" w:styleId="Ttulo9">
    <w:name w:val="heading 9"/>
    <w:basedOn w:val="Ttulo8"/>
    <w:next w:val="Textbody"/>
    <w:pPr>
      <w:keepLines/>
      <w:spacing w:before="120"/>
      <w:ind w:left="397" w:right="3969" w:hanging="397"/>
      <w:jc w:val="left"/>
      <w:outlineLvl w:val="8"/>
    </w:pPr>
    <w:rPr>
      <w:rFonts w:ascii="Arial" w:hAnsi="Arial" w:cs="Arial"/>
      <w:bCs w:val="0"/>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Outline">
    <w:name w:val="Outline"/>
    <w:basedOn w:val="Sinlista"/>
    <w:pPr>
      <w:numPr>
        <w:numId w:val="1"/>
      </w:numPr>
    </w:pPr>
  </w:style>
  <w:style w:type="paragraph" w:customStyle="1" w:styleId="Standard">
    <w:name w:val="Standard"/>
    <w:pPr>
      <w:widowControl/>
    </w:pPr>
    <w:rPr>
      <w:rFonts w:ascii="Futura Lt BT" w:hAnsi="Futura Lt BT" w:cs="Futura Lt BT"/>
      <w:sz w:val="22"/>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240" w:line="260" w:lineRule="exact"/>
      <w:jc w:val="both"/>
    </w:pPr>
    <w:rPr>
      <w:rFonts w:ascii="Times New Roman" w:hAnsi="Times New Roman" w:cs="Times New Roman"/>
    </w:rPr>
  </w:style>
  <w:style w:type="paragraph" w:styleId="Lista">
    <w:name w:val="List"/>
    <w:basedOn w:val="Textbody"/>
    <w:rPr>
      <w:rFonts w:cs="Ari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Encabezado1">
    <w:name w:val="Encabezado1"/>
    <w:basedOn w:val="Standard"/>
    <w:pPr>
      <w:jc w:val="both"/>
    </w:pPr>
    <w:rPr>
      <w:rFonts w:ascii="Times New Roman" w:hAnsi="Times New Roman" w:cs="Times New Roman"/>
      <w:bCs/>
      <w:sz w:val="20"/>
    </w:rPr>
  </w:style>
  <w:style w:type="paragraph" w:customStyle="1" w:styleId="Epgrafe">
    <w:name w:val="Epígrafe"/>
    <w:basedOn w:val="Standard"/>
    <w:pPr>
      <w:suppressLineNumbers/>
      <w:spacing w:before="120" w:after="120"/>
    </w:pPr>
    <w:rPr>
      <w:rFonts w:cs="Arial"/>
      <w:i/>
      <w:iCs/>
      <w:sz w:val="24"/>
      <w:szCs w:val="24"/>
    </w:rPr>
  </w:style>
  <w:style w:type="paragraph" w:customStyle="1" w:styleId="ndice">
    <w:name w:val="Índice"/>
    <w:basedOn w:val="Standard"/>
    <w:pPr>
      <w:suppressLineNumbers/>
    </w:pPr>
    <w:rPr>
      <w:rFonts w:cs="Arial"/>
    </w:rPr>
  </w:style>
  <w:style w:type="paragraph" w:customStyle="1" w:styleId="Listaconnmeros1">
    <w:name w:val="Lista con números1"/>
    <w:basedOn w:val="Standard"/>
    <w:pPr>
      <w:spacing w:after="240"/>
      <w:jc w:val="both"/>
    </w:pPr>
    <w:rPr>
      <w:rFonts w:ascii="Arial" w:hAnsi="Arial" w:cs="Arial"/>
      <w:sz w:val="18"/>
    </w:rPr>
  </w:style>
  <w:style w:type="paragraph" w:customStyle="1" w:styleId="Listaconnmeros21">
    <w:name w:val="Lista con números 21"/>
    <w:basedOn w:val="Listaconnmeros1"/>
  </w:style>
  <w:style w:type="paragraph" w:customStyle="1" w:styleId="Listaconnmeros31">
    <w:name w:val="Lista con números 31"/>
    <w:basedOn w:val="Listaconnmeros21"/>
    <w:pPr>
      <w:ind w:left="851"/>
    </w:pPr>
  </w:style>
  <w:style w:type="paragraph" w:customStyle="1" w:styleId="Listaconnmeros41">
    <w:name w:val="Lista con números 41"/>
    <w:basedOn w:val="Listaconnmeros31"/>
    <w:pPr>
      <w:ind w:left="1134" w:hanging="283"/>
    </w:pPr>
  </w:style>
  <w:style w:type="paragraph" w:customStyle="1" w:styleId="Listaconnmeros51">
    <w:name w:val="Lista con números 51"/>
    <w:basedOn w:val="Listaconnmeros41"/>
    <w:pPr>
      <w:ind w:left="1418"/>
    </w:pPr>
  </w:style>
  <w:style w:type="paragraph" w:customStyle="1" w:styleId="Tabladeilustraciones1">
    <w:name w:val="Tabla de ilustraciones1"/>
    <w:basedOn w:val="Standard"/>
    <w:rPr>
      <w:rFonts w:ascii="Times New Roman" w:hAnsi="Times New Roman" w:cs="Times New Roman"/>
      <w:sz w:val="20"/>
    </w:rPr>
  </w:style>
  <w:style w:type="paragraph" w:styleId="Encabezado">
    <w:name w:val="header"/>
    <w:basedOn w:val="Standard"/>
    <w:pPr>
      <w:suppressLineNumbers/>
      <w:tabs>
        <w:tab w:val="center" w:pos="4819"/>
        <w:tab w:val="right" w:pos="9638"/>
      </w:tabs>
    </w:pPr>
    <w:rPr>
      <w:rFonts w:ascii="Arial" w:hAnsi="Arial" w:cs="Times New Roman"/>
      <w:sz w:val="18"/>
      <w:lang w:val="en-US"/>
    </w:rPr>
  </w:style>
  <w:style w:type="paragraph" w:styleId="Piedepgina">
    <w:name w:val="footer"/>
    <w:basedOn w:val="Standard"/>
    <w:pPr>
      <w:suppressLineNumbers/>
      <w:tabs>
        <w:tab w:val="center" w:pos="4819"/>
        <w:tab w:val="right" w:pos="9638"/>
      </w:tabs>
      <w:jc w:val="right"/>
    </w:pPr>
    <w:rPr>
      <w:rFonts w:ascii="Arial" w:hAnsi="Arial" w:cs="Arial"/>
      <w:b/>
      <w:sz w:val="18"/>
    </w:rPr>
  </w:style>
  <w:style w:type="paragraph" w:customStyle="1" w:styleId="Guion">
    <w:name w:val="Guion"/>
    <w:basedOn w:val="Tabladeilustraciones1"/>
    <w:pPr>
      <w:jc w:val="center"/>
    </w:pPr>
  </w:style>
  <w:style w:type="paragraph" w:customStyle="1" w:styleId="Textocomentario1">
    <w:name w:val="Texto comentario1"/>
    <w:basedOn w:val="Standard"/>
    <w:pPr>
      <w:spacing w:before="240" w:after="240"/>
      <w:ind w:left="284" w:hanging="284"/>
      <w:jc w:val="both"/>
    </w:pPr>
    <w:rPr>
      <w:rFonts w:ascii="Arial" w:hAnsi="Arial" w:cs="Arial"/>
      <w:sz w:val="16"/>
    </w:rPr>
  </w:style>
  <w:style w:type="paragraph" w:customStyle="1" w:styleId="AANumbering">
    <w:name w:val="AA Numbering"/>
    <w:basedOn w:val="Standard"/>
    <w:pPr>
      <w:spacing w:after="240"/>
      <w:jc w:val="both"/>
    </w:pPr>
    <w:rPr>
      <w:rFonts w:ascii="Times New Roman" w:hAnsi="Times New Roman" w:cs="Times New Roman"/>
    </w:rPr>
  </w:style>
  <w:style w:type="paragraph" w:customStyle="1" w:styleId="Carta">
    <w:name w:val="Carta"/>
    <w:pPr>
      <w:widowControl/>
      <w:spacing w:after="240"/>
      <w:jc w:val="both"/>
    </w:pPr>
    <w:rPr>
      <w:sz w:val="22"/>
      <w:lang w:val="en-US"/>
    </w:rPr>
  </w:style>
  <w:style w:type="paragraph" w:customStyle="1" w:styleId="ListUnoCarta">
    <w:name w:val="ListUnoCarta"/>
    <w:basedOn w:val="Carta"/>
    <w:pPr>
      <w:ind w:left="284" w:hanging="284"/>
    </w:pPr>
  </w:style>
  <w:style w:type="paragraph" w:customStyle="1" w:styleId="ListDosCarta">
    <w:name w:val="ListDosCarta"/>
    <w:basedOn w:val="ListUnoCarta"/>
    <w:pPr>
      <w:ind w:left="568"/>
    </w:pPr>
  </w:style>
  <w:style w:type="paragraph" w:customStyle="1" w:styleId="Portada">
    <w:name w:val="Portada"/>
    <w:basedOn w:val="Standard"/>
    <w:rPr>
      <w:rFonts w:ascii="Arial" w:hAnsi="Arial" w:cs="Arial"/>
      <w:b/>
      <w:sz w:val="24"/>
    </w:rPr>
  </w:style>
  <w:style w:type="paragraph" w:styleId="Firma">
    <w:name w:val="Signature"/>
    <w:basedOn w:val="Standard"/>
    <w:pPr>
      <w:suppressLineNumbers/>
      <w:tabs>
        <w:tab w:val="center" w:pos="6804"/>
      </w:tabs>
      <w:spacing w:after="1200"/>
    </w:pPr>
    <w:rPr>
      <w:lang w:val="en-US"/>
    </w:rPr>
  </w:style>
  <w:style w:type="paragraph" w:customStyle="1" w:styleId="ListTresCarta">
    <w:name w:val="ListTresCarta"/>
    <w:basedOn w:val="ListDosCarta"/>
    <w:pPr>
      <w:ind w:left="851"/>
    </w:pPr>
  </w:style>
  <w:style w:type="paragraph" w:customStyle="1" w:styleId="accionistas">
    <w:name w:val="accionistas"/>
    <w:basedOn w:val="Standard"/>
    <w:pPr>
      <w:spacing w:after="480"/>
    </w:pPr>
    <w:rPr>
      <w:rFonts w:ascii="Book Antiqua" w:hAnsi="Book Antiqua" w:cs="Book Antiqua"/>
    </w:rPr>
  </w:style>
  <w:style w:type="paragraph" w:customStyle="1" w:styleId="opinincn">
    <w:name w:val="opinión c/n"/>
    <w:basedOn w:val="Standard"/>
    <w:pPr>
      <w:spacing w:after="240"/>
      <w:ind w:left="340" w:hanging="340"/>
      <w:jc w:val="both"/>
    </w:pPr>
    <w:rPr>
      <w:rFonts w:ascii="Book Antiqua" w:hAnsi="Book Antiqua" w:cs="Book Antiqua"/>
    </w:rPr>
  </w:style>
  <w:style w:type="paragraph" w:customStyle="1" w:styleId="opininnmletra">
    <w:name w:val="opinión núm/letra"/>
    <w:basedOn w:val="opinincn"/>
    <w:pPr>
      <w:ind w:left="680"/>
    </w:pPr>
  </w:style>
  <w:style w:type="paragraph" w:customStyle="1" w:styleId="firma0">
    <w:name w:val="firma"/>
    <w:basedOn w:val="Standard"/>
    <w:pPr>
      <w:tabs>
        <w:tab w:val="center" w:pos="6521"/>
      </w:tabs>
      <w:spacing w:after="1200"/>
      <w:jc w:val="both"/>
    </w:pPr>
    <w:rPr>
      <w:rFonts w:ascii="Book Antiqua" w:hAnsi="Book Antiqua" w:cs="Book Antiqua"/>
    </w:rPr>
  </w:style>
  <w:style w:type="paragraph" w:customStyle="1" w:styleId="textonormal">
    <w:name w:val="texto normal"/>
    <w:basedOn w:val="Standard"/>
    <w:pPr>
      <w:spacing w:after="240"/>
      <w:ind w:left="567"/>
      <w:jc w:val="both"/>
    </w:pPr>
    <w:rPr>
      <w:rFonts w:ascii="Book Antiqua" w:hAnsi="Book Antiqua" w:cs="Book Antiqua"/>
    </w:rPr>
  </w:style>
  <w:style w:type="paragraph" w:customStyle="1" w:styleId="cuadros">
    <w:name w:val="cuadros"/>
    <w:basedOn w:val="Standard"/>
    <w:rPr>
      <w:rFonts w:ascii="Book Antiqua" w:hAnsi="Book Antiqua" w:cs="Book Antiqua"/>
      <w:sz w:val="20"/>
    </w:rPr>
  </w:style>
  <w:style w:type="paragraph" w:customStyle="1" w:styleId="Retorno">
    <w:name w:val="Retorno"/>
    <w:basedOn w:val="Standard"/>
    <w:rPr>
      <w:rFonts w:ascii="Book Antiqua" w:hAnsi="Book Antiqua" w:cs="Book Antiqua"/>
    </w:rPr>
  </w:style>
  <w:style w:type="paragraph" w:customStyle="1" w:styleId="textoasterisco">
    <w:name w:val="texto asterisco"/>
    <w:basedOn w:val="textonormal"/>
    <w:pPr>
      <w:spacing w:before="240"/>
      <w:ind w:left="851" w:hanging="284"/>
    </w:pPr>
    <w:rPr>
      <w:sz w:val="20"/>
    </w:rPr>
  </w:style>
  <w:style w:type="paragraph" w:customStyle="1" w:styleId="textoletra">
    <w:name w:val="texto letra"/>
    <w:basedOn w:val="textonormal"/>
    <w:pPr>
      <w:ind w:left="907"/>
    </w:pPr>
  </w:style>
  <w:style w:type="paragraph" w:customStyle="1" w:styleId="AANumbering2">
    <w:name w:val="AANumbering2"/>
    <w:basedOn w:val="Standard"/>
    <w:pPr>
      <w:widowControl w:val="0"/>
      <w:tabs>
        <w:tab w:val="left" w:pos="425"/>
      </w:tabs>
      <w:spacing w:after="240"/>
      <w:jc w:val="both"/>
    </w:pPr>
    <w:rPr>
      <w:rFonts w:ascii="Times New Roman" w:hAnsi="Times New Roman" w:cs="Times New Roman"/>
      <w:sz w:val="20"/>
      <w:lang w:val="en-US"/>
    </w:rPr>
  </w:style>
  <w:style w:type="paragraph" w:customStyle="1" w:styleId="xl24">
    <w:name w:val="xl24"/>
    <w:basedOn w:val="Standard"/>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Unicode MS" w:hAnsi="Arial" w:cs="Arial"/>
      <w:sz w:val="24"/>
      <w:szCs w:val="24"/>
      <w:lang w:val="en-US"/>
    </w:rPr>
  </w:style>
  <w:style w:type="paragraph" w:customStyle="1" w:styleId="xl25">
    <w:name w:val="xl25"/>
    <w:basedOn w:val="Standard"/>
    <w:pPr>
      <w:pBdr>
        <w:top w:val="single" w:sz="4" w:space="0" w:color="000001"/>
        <w:left w:val="single" w:sz="4" w:space="0" w:color="000001"/>
        <w:bottom w:val="single" w:sz="4" w:space="0" w:color="000001"/>
        <w:right w:val="single" w:sz="4" w:space="0" w:color="000001"/>
      </w:pBdr>
      <w:spacing w:before="100" w:after="100"/>
    </w:pPr>
    <w:rPr>
      <w:rFonts w:ascii="Arial" w:eastAsia="Arial Unicode MS" w:hAnsi="Arial" w:cs="Arial"/>
      <w:sz w:val="24"/>
      <w:szCs w:val="24"/>
      <w:lang w:val="en-US"/>
    </w:rPr>
  </w:style>
  <w:style w:type="paragraph" w:customStyle="1" w:styleId="xl26">
    <w:name w:val="xl26"/>
    <w:basedOn w:val="Standard"/>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Unicode MS" w:hAnsi="Arial" w:cs="Arial"/>
      <w:sz w:val="24"/>
      <w:szCs w:val="24"/>
      <w:lang w:val="en-US"/>
    </w:rPr>
  </w:style>
  <w:style w:type="paragraph" w:customStyle="1" w:styleId="xl27">
    <w:name w:val="xl27"/>
    <w:basedOn w:val="Standard"/>
    <w:pPr>
      <w:spacing w:before="100" w:after="100"/>
    </w:pPr>
    <w:rPr>
      <w:rFonts w:ascii="Arial Unicode MS" w:eastAsia="Arial Unicode MS" w:hAnsi="Arial Unicode MS" w:cs="Arial Unicode MS"/>
      <w:sz w:val="24"/>
      <w:szCs w:val="24"/>
      <w:lang w:val="en-US"/>
    </w:rPr>
  </w:style>
  <w:style w:type="paragraph" w:customStyle="1" w:styleId="xl28">
    <w:name w:val="xl28"/>
    <w:basedOn w:val="Standard"/>
    <w:pPr>
      <w:spacing w:before="100" w:after="100"/>
    </w:pPr>
    <w:rPr>
      <w:rFonts w:ascii="Arial Unicode MS" w:eastAsia="Arial Unicode MS" w:hAnsi="Arial Unicode MS" w:cs="Arial Unicode MS"/>
      <w:sz w:val="24"/>
      <w:szCs w:val="24"/>
      <w:lang w:val="en-US"/>
    </w:rPr>
  </w:style>
  <w:style w:type="paragraph" w:customStyle="1" w:styleId="xl29">
    <w:name w:val="xl29"/>
    <w:basedOn w:val="Standard"/>
    <w:pPr>
      <w:spacing w:before="100" w:after="100"/>
    </w:pPr>
    <w:rPr>
      <w:rFonts w:ascii="Arial Unicode MS" w:eastAsia="Arial Unicode MS" w:hAnsi="Arial Unicode MS" w:cs="Arial Unicode MS"/>
      <w:sz w:val="24"/>
      <w:szCs w:val="24"/>
      <w:lang w:val="en-US"/>
    </w:rPr>
  </w:style>
  <w:style w:type="paragraph" w:customStyle="1" w:styleId="xl30">
    <w:name w:val="xl30"/>
    <w:basedOn w:val="Standard"/>
    <w:pPr>
      <w:spacing w:before="100" w:after="100"/>
    </w:pPr>
    <w:rPr>
      <w:rFonts w:ascii="Arial Unicode MS" w:eastAsia="Arial Unicode MS" w:hAnsi="Arial Unicode MS" w:cs="Arial Unicode MS"/>
      <w:sz w:val="24"/>
      <w:szCs w:val="24"/>
      <w:lang w:val="en-US"/>
    </w:rPr>
  </w:style>
  <w:style w:type="paragraph" w:customStyle="1" w:styleId="xl31">
    <w:name w:val="xl31"/>
    <w:basedOn w:val="Standard"/>
    <w:pPr>
      <w:spacing w:before="100" w:after="100"/>
      <w:jc w:val="center"/>
    </w:pPr>
    <w:rPr>
      <w:rFonts w:ascii="Arial Unicode MS" w:eastAsia="Arial Unicode MS" w:hAnsi="Arial Unicode MS" w:cs="Arial Unicode MS"/>
      <w:sz w:val="24"/>
      <w:szCs w:val="24"/>
      <w:lang w:val="en-US"/>
    </w:rPr>
  </w:style>
  <w:style w:type="paragraph" w:customStyle="1" w:styleId="xl32">
    <w:name w:val="xl32"/>
    <w:basedOn w:val="Standard"/>
    <w:pPr>
      <w:spacing w:before="100" w:after="100"/>
      <w:jc w:val="center"/>
    </w:pPr>
    <w:rPr>
      <w:rFonts w:ascii="Arial Unicode MS" w:eastAsia="Arial Unicode MS" w:hAnsi="Arial Unicode MS" w:cs="Arial Unicode MS"/>
      <w:sz w:val="24"/>
      <w:szCs w:val="24"/>
      <w:lang w:val="en-US"/>
    </w:rPr>
  </w:style>
  <w:style w:type="paragraph" w:customStyle="1" w:styleId="xl33">
    <w:name w:val="xl33"/>
    <w:basedOn w:val="Standard"/>
    <w:pPr>
      <w:pBdr>
        <w:top w:val="single" w:sz="4" w:space="0" w:color="000001"/>
        <w:left w:val="single" w:sz="4" w:space="0" w:color="000001"/>
        <w:bottom w:val="single" w:sz="4" w:space="0" w:color="000001"/>
        <w:right w:val="single" w:sz="4" w:space="0" w:color="000001"/>
      </w:pBdr>
      <w:spacing w:before="100" w:after="100"/>
    </w:pPr>
    <w:rPr>
      <w:rFonts w:ascii="Arial" w:eastAsia="Arial Unicode MS" w:hAnsi="Arial" w:cs="Arial"/>
      <w:b/>
      <w:bCs/>
      <w:sz w:val="24"/>
      <w:szCs w:val="24"/>
      <w:lang w:val="en-US"/>
    </w:rPr>
  </w:style>
  <w:style w:type="paragraph" w:customStyle="1" w:styleId="xl34">
    <w:name w:val="xl34"/>
    <w:basedOn w:val="Standard"/>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Unicode MS" w:hAnsi="Arial" w:cs="Arial"/>
      <w:b/>
      <w:bCs/>
      <w:sz w:val="24"/>
      <w:szCs w:val="24"/>
      <w:lang w:val="en-US"/>
    </w:rPr>
  </w:style>
  <w:style w:type="paragraph" w:customStyle="1" w:styleId="xl35">
    <w:name w:val="xl35"/>
    <w:basedOn w:val="Standard"/>
    <w:pPr>
      <w:spacing w:before="100" w:after="100"/>
    </w:pPr>
    <w:rPr>
      <w:rFonts w:ascii="Arial Unicode MS" w:eastAsia="Arial Unicode MS" w:hAnsi="Arial Unicode MS" w:cs="Arial Unicode MS"/>
      <w:sz w:val="24"/>
      <w:szCs w:val="24"/>
      <w:lang w:val="en-US"/>
    </w:rPr>
  </w:style>
  <w:style w:type="paragraph" w:customStyle="1" w:styleId="xl36">
    <w:name w:val="xl36"/>
    <w:basedOn w:val="Standard"/>
    <w:pPr>
      <w:spacing w:before="100" w:after="100"/>
    </w:pPr>
    <w:rPr>
      <w:rFonts w:ascii="Arial" w:eastAsia="Arial Unicode MS" w:hAnsi="Arial" w:cs="Arial"/>
      <w:b/>
      <w:bCs/>
      <w:sz w:val="24"/>
      <w:szCs w:val="24"/>
      <w:lang w:val="en-US"/>
    </w:rPr>
  </w:style>
  <w:style w:type="paragraph" w:customStyle="1" w:styleId="xl37">
    <w:name w:val="xl37"/>
    <w:basedOn w:val="Standard"/>
    <w:pPr>
      <w:pBdr>
        <w:top w:val="single" w:sz="4" w:space="0" w:color="000001"/>
        <w:left w:val="single" w:sz="4" w:space="0" w:color="000001"/>
        <w:bottom w:val="single" w:sz="4" w:space="0" w:color="000001"/>
        <w:right w:val="single" w:sz="4" w:space="0" w:color="000001"/>
      </w:pBdr>
      <w:spacing w:before="100" w:after="100"/>
    </w:pPr>
    <w:rPr>
      <w:rFonts w:ascii="Arial Unicode MS" w:eastAsia="Arial Unicode MS" w:hAnsi="Arial Unicode MS" w:cs="Arial Unicode MS"/>
      <w:sz w:val="24"/>
      <w:szCs w:val="24"/>
      <w:lang w:val="en-US"/>
    </w:rPr>
  </w:style>
  <w:style w:type="paragraph" w:customStyle="1" w:styleId="xl38">
    <w:name w:val="xl38"/>
    <w:basedOn w:val="Standard"/>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Unicode MS" w:hAnsi="Arial" w:cs="Arial"/>
      <w:sz w:val="16"/>
      <w:szCs w:val="16"/>
      <w:lang w:val="en-US"/>
    </w:rPr>
  </w:style>
  <w:style w:type="paragraph" w:customStyle="1" w:styleId="xl39">
    <w:name w:val="xl39"/>
    <w:basedOn w:val="Standard"/>
    <w:pPr>
      <w:pBdr>
        <w:top w:val="single" w:sz="4" w:space="0" w:color="000001"/>
        <w:left w:val="single" w:sz="4" w:space="0" w:color="000001"/>
        <w:bottom w:val="single" w:sz="4" w:space="0" w:color="000001"/>
        <w:right w:val="single" w:sz="4" w:space="0" w:color="000001"/>
      </w:pBdr>
      <w:spacing w:before="100" w:after="100"/>
      <w:jc w:val="center"/>
    </w:pPr>
    <w:rPr>
      <w:rFonts w:ascii="Arial Unicode MS" w:eastAsia="Arial Unicode MS" w:hAnsi="Arial Unicode MS" w:cs="Arial Unicode MS"/>
      <w:sz w:val="24"/>
      <w:szCs w:val="24"/>
      <w:lang w:val="en-US"/>
    </w:rPr>
  </w:style>
  <w:style w:type="paragraph" w:customStyle="1" w:styleId="xl40">
    <w:name w:val="xl40"/>
    <w:basedOn w:val="Standard"/>
    <w:pPr>
      <w:pBdr>
        <w:top w:val="single" w:sz="4" w:space="0" w:color="000001"/>
        <w:left w:val="single" w:sz="4" w:space="0" w:color="000001"/>
        <w:bottom w:val="single" w:sz="4" w:space="0" w:color="000001"/>
        <w:right w:val="single" w:sz="4" w:space="0" w:color="000001"/>
      </w:pBdr>
      <w:spacing w:before="100" w:after="100"/>
      <w:jc w:val="center"/>
    </w:pPr>
    <w:rPr>
      <w:rFonts w:ascii="Arial Unicode MS" w:eastAsia="Arial Unicode MS" w:hAnsi="Arial Unicode MS" w:cs="Arial Unicode MS"/>
      <w:sz w:val="24"/>
      <w:szCs w:val="24"/>
      <w:lang w:val="en-US"/>
    </w:rPr>
  </w:style>
  <w:style w:type="paragraph" w:customStyle="1" w:styleId="xl41">
    <w:name w:val="xl41"/>
    <w:basedOn w:val="Standard"/>
    <w:pPr>
      <w:pBdr>
        <w:top w:val="single" w:sz="4" w:space="0" w:color="000001"/>
        <w:left w:val="single" w:sz="4" w:space="0" w:color="000001"/>
        <w:bottom w:val="single" w:sz="4" w:space="0" w:color="000001"/>
        <w:right w:val="single" w:sz="4" w:space="0" w:color="000001"/>
      </w:pBdr>
      <w:spacing w:before="100" w:after="100"/>
      <w:jc w:val="center"/>
    </w:pPr>
    <w:rPr>
      <w:rFonts w:ascii="Arial Unicode MS" w:eastAsia="Arial Unicode MS" w:hAnsi="Arial Unicode MS" w:cs="Arial Unicode MS"/>
      <w:sz w:val="24"/>
      <w:szCs w:val="24"/>
      <w:lang w:val="en-US"/>
    </w:rPr>
  </w:style>
  <w:style w:type="paragraph" w:customStyle="1" w:styleId="xl42">
    <w:name w:val="xl42"/>
    <w:basedOn w:val="Standard"/>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Unicode MS" w:hAnsi="Arial" w:cs="Arial"/>
      <w:sz w:val="16"/>
      <w:szCs w:val="16"/>
      <w:lang w:val="en-US"/>
    </w:rPr>
  </w:style>
  <w:style w:type="paragraph" w:customStyle="1" w:styleId="xl43">
    <w:name w:val="xl43"/>
    <w:basedOn w:val="Standard"/>
    <w:pPr>
      <w:spacing w:before="100" w:after="100"/>
      <w:jc w:val="center"/>
    </w:pPr>
    <w:rPr>
      <w:rFonts w:ascii="Arial" w:eastAsia="Arial Unicode MS" w:hAnsi="Arial" w:cs="Arial"/>
      <w:sz w:val="16"/>
      <w:szCs w:val="16"/>
      <w:lang w:val="en-US"/>
    </w:rPr>
  </w:style>
  <w:style w:type="paragraph" w:customStyle="1" w:styleId="AA5rdlevelbullet">
    <w:name w:val="AA 5rd level bullet"/>
    <w:basedOn w:val="Standard"/>
    <w:pPr>
      <w:spacing w:after="240"/>
      <w:jc w:val="both"/>
    </w:pPr>
    <w:rPr>
      <w:rFonts w:ascii="Arial" w:hAnsi="Arial" w:cs="Arial"/>
      <w:sz w:val="20"/>
    </w:rPr>
  </w:style>
  <w:style w:type="paragraph" w:customStyle="1" w:styleId="ListNumber1">
    <w:name w:val="List Number 1"/>
    <w:basedOn w:val="Standard"/>
    <w:pPr>
      <w:spacing w:after="240"/>
      <w:jc w:val="both"/>
    </w:pPr>
    <w:rPr>
      <w:rFonts w:ascii="Times New Roman" w:hAnsi="Times New Roman" w:cs="Times New Roman"/>
    </w:rPr>
  </w:style>
  <w:style w:type="paragraph" w:customStyle="1" w:styleId="Sangra2detindependiente1">
    <w:name w:val="Sangría 2 de t. independiente1"/>
    <w:basedOn w:val="Standard"/>
    <w:pPr>
      <w:spacing w:after="240"/>
      <w:ind w:left="330" w:hanging="420"/>
      <w:jc w:val="both"/>
    </w:pPr>
    <w:rPr>
      <w:rFonts w:ascii="Arial" w:hAnsi="Arial" w:cs="Arial"/>
      <w:sz w:val="16"/>
    </w:rPr>
  </w:style>
  <w:style w:type="paragraph" w:customStyle="1" w:styleId="Textoindependiente31">
    <w:name w:val="Texto independiente 31"/>
    <w:basedOn w:val="Standard"/>
    <w:pPr>
      <w:tabs>
        <w:tab w:val="left" w:pos="0"/>
      </w:tabs>
      <w:jc w:val="both"/>
    </w:pPr>
    <w:rPr>
      <w:rFonts w:ascii="Times New Roman" w:hAnsi="Times New Roman" w:cs="Times New Roman"/>
      <w:sz w:val="24"/>
    </w:rPr>
  </w:style>
  <w:style w:type="paragraph" w:customStyle="1" w:styleId="CartaDos">
    <w:name w:val="CartaDos"/>
    <w:basedOn w:val="Carta"/>
    <w:pPr>
      <w:spacing w:after="0"/>
      <w:jc w:val="left"/>
    </w:pPr>
  </w:style>
  <w:style w:type="paragraph" w:customStyle="1" w:styleId="Textoindependiente21">
    <w:name w:val="Texto independiente 21"/>
    <w:basedOn w:val="Standard"/>
    <w:pPr>
      <w:spacing w:after="240"/>
      <w:jc w:val="both"/>
    </w:pPr>
    <w:rPr>
      <w:rFonts w:ascii="Times New Roman" w:hAnsi="Times New Roman" w:cs="Times New Roman"/>
      <w:i/>
      <w:iCs/>
      <w:sz w:val="20"/>
    </w:rPr>
  </w:style>
  <w:style w:type="paragraph" w:customStyle="1" w:styleId="PortadaDos">
    <w:name w:val="PortadaDos"/>
    <w:basedOn w:val="Portada"/>
    <w:pPr>
      <w:ind w:left="113" w:right="113"/>
    </w:pPr>
    <w:rPr>
      <w:b w:val="0"/>
      <w:bCs/>
    </w:rPr>
  </w:style>
  <w:style w:type="paragraph" w:customStyle="1" w:styleId="PortadaUno">
    <w:name w:val="PortadaUno"/>
    <w:basedOn w:val="Standard"/>
    <w:pPr>
      <w:jc w:val="both"/>
    </w:pPr>
    <w:rPr>
      <w:rFonts w:ascii="Arial" w:hAnsi="Arial" w:cs="Arial"/>
      <w:bCs/>
      <w:sz w:val="24"/>
    </w:rPr>
  </w:style>
  <w:style w:type="paragraph" w:customStyle="1" w:styleId="Textbodyindent">
    <w:name w:val="Text body indent"/>
    <w:basedOn w:val="Standard"/>
    <w:pPr>
      <w:ind w:left="26" w:firstLine="682"/>
      <w:jc w:val="both"/>
    </w:pPr>
    <w:rPr>
      <w:rFonts w:ascii="Arial" w:hAnsi="Arial" w:cs="Arial"/>
    </w:rPr>
  </w:style>
  <w:style w:type="paragraph" w:customStyle="1" w:styleId="Sangra3detindependiente1">
    <w:name w:val="Sangría 3 de t. independiente1"/>
    <w:basedOn w:val="Standard"/>
    <w:pPr>
      <w:ind w:left="708" w:firstLine="708"/>
      <w:jc w:val="both"/>
    </w:pPr>
    <w:rPr>
      <w:rFonts w:ascii="Times New Roman" w:hAnsi="Times New Roman" w:cs="Times New Roman"/>
      <w:sz w:val="20"/>
    </w:rPr>
  </w:style>
  <w:style w:type="paragraph" w:styleId="Textodeglobo">
    <w:name w:val="Balloon Text"/>
    <w:basedOn w:val="Standard"/>
    <w:rPr>
      <w:rFonts w:ascii="Tahoma" w:hAnsi="Tahoma" w:cs="Tahoma"/>
      <w:sz w:val="16"/>
      <w:szCs w:val="16"/>
    </w:rPr>
  </w:style>
  <w:style w:type="paragraph" w:customStyle="1" w:styleId="Firma1">
    <w:name w:val="Firma1"/>
    <w:pPr>
      <w:widowControl/>
      <w:tabs>
        <w:tab w:val="center" w:pos="6804"/>
      </w:tabs>
      <w:spacing w:after="1200"/>
    </w:pPr>
    <w:rPr>
      <w:sz w:val="22"/>
      <w:lang w:val="en-US"/>
    </w:rPr>
  </w:style>
  <w:style w:type="paragraph" w:styleId="Subttulo">
    <w:name w:val="Subtitle"/>
    <w:basedOn w:val="Standard"/>
    <w:next w:val="Textbody"/>
    <w:uiPriority w:val="11"/>
    <w:qFormat/>
    <w:pPr>
      <w:jc w:val="both"/>
    </w:pPr>
    <w:rPr>
      <w:rFonts w:ascii="Arial" w:hAnsi="Arial" w:cs="Arial"/>
      <w:b/>
      <w:i/>
      <w:iCs/>
      <w:sz w:val="24"/>
      <w:szCs w:val="28"/>
      <w:u w:val="single"/>
    </w:rPr>
  </w:style>
  <w:style w:type="paragraph" w:customStyle="1" w:styleId="Contents2">
    <w:name w:val="Contents 2"/>
    <w:basedOn w:val="Standard"/>
    <w:pPr>
      <w:tabs>
        <w:tab w:val="left" w:pos="1800"/>
        <w:tab w:val="right" w:leader="dot" w:pos="9180"/>
      </w:tabs>
      <w:spacing w:before="40" w:after="40"/>
      <w:ind w:left="900" w:right="839" w:hanging="360"/>
    </w:pPr>
    <w:rPr>
      <w:rFonts w:ascii="Arial Narrow" w:hAnsi="Arial Narrow" w:cs="Arial Narrow"/>
      <w:sz w:val="20"/>
      <w:lang w:eastAsia="es-ES"/>
    </w:rPr>
  </w:style>
  <w:style w:type="paragraph" w:styleId="NormalWeb">
    <w:name w:val="Normal (Web)"/>
    <w:basedOn w:val="Standard"/>
    <w:pPr>
      <w:spacing w:before="100" w:after="100"/>
    </w:pPr>
    <w:rPr>
      <w:rFonts w:ascii="Times New Roman" w:hAnsi="Times New Roman" w:cs="Times New Roman"/>
      <w:sz w:val="24"/>
      <w:szCs w:val="24"/>
    </w:rPr>
  </w:style>
  <w:style w:type="paragraph" w:customStyle="1" w:styleId="CM9">
    <w:name w:val="CM9"/>
    <w:basedOn w:val="Standard"/>
    <w:pPr>
      <w:widowControl w:val="0"/>
      <w:spacing w:after="213"/>
    </w:pPr>
    <w:rPr>
      <w:rFonts w:ascii="Helvetica" w:eastAsia="MS Mincho" w:hAnsi="Helvetica" w:cs="Helvetica"/>
      <w:sz w:val="24"/>
      <w:szCs w:val="24"/>
      <w:lang w:eastAsia="ja-JP"/>
    </w:rPr>
  </w:style>
  <w:style w:type="paragraph" w:customStyle="1" w:styleId="alineacionjustificado">
    <w:name w:val="alineacion_justificado"/>
    <w:basedOn w:val="Standard"/>
    <w:pPr>
      <w:spacing w:before="100" w:after="100"/>
    </w:pPr>
    <w:rPr>
      <w:rFonts w:ascii="Times New Roman" w:hAnsi="Times New Roman" w:cs="Times New Roman"/>
      <w:sz w:val="24"/>
      <w:szCs w:val="24"/>
    </w:rPr>
  </w:style>
  <w:style w:type="paragraph" w:customStyle="1" w:styleId="Default">
    <w:name w:val="Default"/>
    <w:pPr>
      <w:widowControl/>
    </w:pPr>
    <w:rPr>
      <w:rFonts w:ascii="NEPKG N+ Avant Garde" w:hAnsi="NEPKG N+ Avant Garde" w:cs="NEPKG N+ Avant Garde"/>
      <w:color w:val="000000"/>
      <w:sz w:val="24"/>
      <w:szCs w:val="24"/>
      <w:lang w:eastAsia="zh-CN"/>
    </w:rPr>
  </w:style>
  <w:style w:type="paragraph" w:styleId="Prrafodelista">
    <w:name w:val="List Paragraph"/>
    <w:basedOn w:val="Standard"/>
    <w:pPr>
      <w:widowControl w:val="0"/>
      <w:spacing w:line="360" w:lineRule="atLeast"/>
      <w:ind w:left="708"/>
      <w:jc w:val="both"/>
    </w:pPr>
    <w:rPr>
      <w:rFonts w:cs="Times New Roman"/>
      <w:lang w:val="en-US"/>
    </w:rPr>
  </w:style>
  <w:style w:type="paragraph" w:customStyle="1" w:styleId="Prrafodelista1">
    <w:name w:val="Párrafo de lista1"/>
    <w:basedOn w:val="Standard"/>
    <w:pPr>
      <w:ind w:left="708"/>
    </w:pPr>
    <w:rPr>
      <w:rFonts w:ascii="Times New Roman" w:hAnsi="Times New Roman" w:cs="Times New Roman"/>
      <w:sz w:val="20"/>
    </w:rPr>
  </w:style>
  <w:style w:type="paragraph" w:customStyle="1" w:styleId="TtuloR1">
    <w:name w:val="Título R1"/>
    <w:basedOn w:val="Standard"/>
    <w:pPr>
      <w:jc w:val="both"/>
    </w:pPr>
    <w:rPr>
      <w:rFonts w:ascii="Arial" w:eastAsia="Calibri" w:hAnsi="Arial" w:cs="Arial"/>
      <w:b/>
      <w:bCs/>
      <w:color w:val="000000"/>
      <w:szCs w:val="22"/>
      <w:u w:val="single" w:color="000000"/>
    </w:rPr>
  </w:style>
  <w:style w:type="paragraph" w:customStyle="1" w:styleId="TtuloR2">
    <w:name w:val="Título R2"/>
    <w:basedOn w:val="Standard"/>
    <w:pPr>
      <w:tabs>
        <w:tab w:val="left" w:pos="1440"/>
      </w:tabs>
      <w:ind w:left="1440" w:hanging="360"/>
      <w:jc w:val="both"/>
    </w:pPr>
    <w:rPr>
      <w:rFonts w:ascii="Arial" w:hAnsi="Arial" w:cs="Arial"/>
      <w:b/>
      <w:color w:val="000000"/>
      <w:szCs w:val="22"/>
    </w:rPr>
  </w:style>
  <w:style w:type="paragraph" w:customStyle="1" w:styleId="TtuloR3">
    <w:name w:val="Título R3"/>
    <w:basedOn w:val="Standard"/>
    <w:pPr>
      <w:tabs>
        <w:tab w:val="left" w:pos="1440"/>
      </w:tabs>
      <w:ind w:left="1440" w:hanging="360"/>
      <w:jc w:val="both"/>
    </w:pPr>
    <w:rPr>
      <w:rFonts w:ascii="Arial" w:hAnsi="Arial" w:cs="Arial"/>
      <w:color w:val="000000"/>
      <w:szCs w:val="22"/>
      <w:u w:val="single" w:color="000000"/>
    </w:rPr>
  </w:style>
  <w:style w:type="paragraph" w:customStyle="1" w:styleId="TtuloR4">
    <w:name w:val="Título R4"/>
    <w:basedOn w:val="Standard"/>
    <w:pPr>
      <w:tabs>
        <w:tab w:val="left" w:pos="1440"/>
      </w:tabs>
      <w:ind w:left="1440" w:hanging="360"/>
      <w:jc w:val="both"/>
    </w:pPr>
    <w:rPr>
      <w:rFonts w:ascii="Arial" w:hAnsi="Arial" w:cs="Arial"/>
      <w:bCs/>
      <w:color w:val="000000"/>
      <w:szCs w:val="22"/>
      <w:u w:val="single" w:color="000000"/>
    </w:rPr>
  </w:style>
  <w:style w:type="paragraph" w:customStyle="1" w:styleId="CuerpoA">
    <w:name w:val="Cuerpo A"/>
    <w:pPr>
      <w:widowControl/>
      <w:spacing w:after="200" w:line="276" w:lineRule="auto"/>
    </w:pPr>
    <w:rPr>
      <w:rFonts w:ascii="Calibri" w:eastAsia="Calibri" w:hAnsi="Calibri" w:cs="Calibri"/>
      <w:color w:val="000000"/>
      <w:sz w:val="22"/>
      <w:szCs w:val="22"/>
      <w:lang w:eastAsia="zh-CN"/>
    </w:rPr>
  </w:style>
  <w:style w:type="paragraph" w:customStyle="1" w:styleId="Contenidodelatabla">
    <w:name w:val="Contenido de la tabla"/>
    <w:basedOn w:val="Standard"/>
    <w:pPr>
      <w:suppressLineNumbers/>
    </w:pPr>
  </w:style>
  <w:style w:type="paragraph" w:customStyle="1" w:styleId="Encabezadodelatabla">
    <w:name w:val="Encabezado de la tabla"/>
    <w:basedOn w:val="Contenidodelatabla"/>
    <w:pPr>
      <w:jc w:val="center"/>
    </w:pPr>
    <w:rPr>
      <w:b/>
      <w:bCs/>
    </w:rPr>
  </w:style>
  <w:style w:type="paragraph" w:styleId="Sangra2detindependiente">
    <w:name w:val="Body Text Indent 2"/>
    <w:basedOn w:val="Standard"/>
    <w:pPr>
      <w:spacing w:after="120" w:line="480" w:lineRule="auto"/>
      <w:ind w:left="283"/>
    </w:pPr>
    <w:rPr>
      <w:rFonts w:cs="Times New Roman"/>
      <w:lang w:val="en-US"/>
    </w:rPr>
  </w:style>
  <w:style w:type="paragraph" w:styleId="Textoindependiente3">
    <w:name w:val="Body Text 3"/>
    <w:basedOn w:val="Standard"/>
    <w:pPr>
      <w:spacing w:after="120"/>
    </w:pPr>
    <w:rPr>
      <w:rFonts w:cs="Times New Roman"/>
      <w:sz w:val="16"/>
      <w:szCs w:val="16"/>
      <w:lang w:val="en-US"/>
    </w:rPr>
  </w:style>
  <w:style w:type="paragraph" w:customStyle="1" w:styleId="Estilo2">
    <w:name w:val="Estilo2"/>
    <w:basedOn w:val="Prrafodelista"/>
    <w:pPr>
      <w:widowControl/>
      <w:suppressAutoHyphens w:val="0"/>
      <w:spacing w:line="240" w:lineRule="auto"/>
      <w:outlineLvl w:val="0"/>
    </w:pPr>
    <w:rPr>
      <w:rFonts w:ascii="Calibri" w:eastAsia="Calibri" w:hAnsi="Calibri" w:cs="Calibri"/>
      <w:szCs w:val="22"/>
      <w:lang w:val="es-ES" w:eastAsia="en-US"/>
    </w:r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color w:val="00000A"/>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hAnsi="Times New Roman" w:cs="Times New Roman"/>
      <w:bCs/>
      <w:i/>
      <w:szCs w:val="22"/>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333399"/>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alibri" w:eastAsia="Calibri" w:hAnsi="Calibri"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MS Mincho"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rPr>
      <w:lang w:val="es-E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3z1">
    <w:name w:val="WW8Num13z1"/>
    <w:rPr>
      <w:rFonts w:cs="Times New Roman"/>
    </w:rPr>
  </w:style>
  <w:style w:type="character" w:customStyle="1" w:styleId="WW8Num14z0">
    <w:name w:val="WW8Num14z0"/>
    <w:rPr>
      <w:rFonts w:ascii="Symbol" w:hAnsi="Symbol" w:cs="Symbol"/>
      <w:color w:val="000080"/>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negrita">
    <w:name w:val="negrita"/>
    <w:basedOn w:val="Fuentedeprrafopredeter1"/>
  </w:style>
  <w:style w:type="character" w:customStyle="1" w:styleId="PiedepginaCar">
    <w:name w:val="Pie de página Car"/>
    <w:rPr>
      <w:rFonts w:ascii="Arial" w:hAnsi="Arial" w:cs="Arial"/>
      <w:b/>
      <w:sz w:val="18"/>
    </w:rPr>
  </w:style>
  <w:style w:type="character" w:customStyle="1" w:styleId="TtuloR1Car">
    <w:name w:val="Título R1 Car"/>
    <w:rPr>
      <w:rFonts w:ascii="Arial" w:eastAsia="Calibri" w:hAnsi="Arial" w:cs="Arial"/>
      <w:b/>
      <w:bCs/>
      <w:color w:val="000000"/>
      <w:sz w:val="22"/>
      <w:szCs w:val="22"/>
      <w:u w:val="single" w:color="000000"/>
    </w:rPr>
  </w:style>
  <w:style w:type="character" w:customStyle="1" w:styleId="TtuloR2Car">
    <w:name w:val="Título R2 Car"/>
    <w:rPr>
      <w:rFonts w:ascii="Arial" w:hAnsi="Arial" w:cs="Arial"/>
      <w:b/>
      <w:color w:val="000000"/>
      <w:sz w:val="22"/>
      <w:szCs w:val="22"/>
      <w:lang w:val="es-ES"/>
    </w:rPr>
  </w:style>
  <w:style w:type="character" w:customStyle="1" w:styleId="TtuloR3Car">
    <w:name w:val="Título R3 Car"/>
    <w:rPr>
      <w:rFonts w:ascii="Arial" w:hAnsi="Arial" w:cs="Arial"/>
      <w:color w:val="000000"/>
      <w:sz w:val="22"/>
      <w:szCs w:val="22"/>
      <w:u w:val="single" w:color="000000"/>
      <w:lang w:val="es-ES"/>
    </w:rPr>
  </w:style>
  <w:style w:type="character" w:customStyle="1" w:styleId="PrrafodelistaCar">
    <w:name w:val="Párrafo de lista Car"/>
    <w:rPr>
      <w:rFonts w:ascii="Futura Lt BT" w:hAnsi="Futura Lt BT" w:cs="Futura Lt BT"/>
      <w:sz w:val="22"/>
      <w:lang w:eastAsia="zh-CN"/>
    </w:rPr>
  </w:style>
  <w:style w:type="character" w:customStyle="1" w:styleId="Sangra2detindependienteCar">
    <w:name w:val="Sangría 2 de t. independiente Car"/>
    <w:rPr>
      <w:rFonts w:ascii="Futura Lt BT" w:hAnsi="Futura Lt BT" w:cs="Futura Lt BT"/>
      <w:sz w:val="22"/>
      <w:lang w:eastAsia="zh-CN"/>
    </w:rPr>
  </w:style>
  <w:style w:type="character" w:customStyle="1" w:styleId="Textoindependiente3Car">
    <w:name w:val="Texto independiente 3 Car"/>
    <w:rPr>
      <w:rFonts w:ascii="Futura Lt BT" w:hAnsi="Futura Lt BT" w:cs="Futura Lt BT"/>
      <w:sz w:val="16"/>
      <w:szCs w:val="16"/>
      <w:lang w:eastAsia="zh-CN"/>
    </w:rPr>
  </w:style>
  <w:style w:type="character" w:customStyle="1" w:styleId="EncabezadoCar">
    <w:name w:val="Encabezado Car"/>
    <w:rPr>
      <w:rFonts w:ascii="Arial" w:hAnsi="Arial" w:cs="Arial"/>
      <w:sz w:val="18"/>
      <w:lang w:eastAsia="zh-CN"/>
    </w:rPr>
  </w:style>
  <w:style w:type="character" w:customStyle="1" w:styleId="Estilo2Car">
    <w:name w:val="Estilo2 Car"/>
    <w:rPr>
      <w:rFonts w:ascii="Calibri" w:eastAsia="Calibri" w:hAnsi="Calibri" w:cs="Calibri"/>
      <w:sz w:val="22"/>
      <w:szCs w:val="22"/>
      <w:lang w:eastAsia="en-US"/>
    </w:rPr>
  </w:style>
  <w:style w:type="character" w:customStyle="1" w:styleId="ListLabel1">
    <w:name w:val="ListLabel 1"/>
    <w:rPr>
      <w:rFonts w:cs="Wingdings"/>
      <w:color w:val="00000A"/>
      <w:sz w:val="20"/>
    </w:rPr>
  </w:style>
  <w:style w:type="character" w:customStyle="1" w:styleId="ListLabel2">
    <w:name w:val="ListLabel 2"/>
    <w:rPr>
      <w:rFonts w:cs="Symbol"/>
      <w:color w:val="333399"/>
    </w:rPr>
  </w:style>
  <w:style w:type="character" w:customStyle="1" w:styleId="ListLabel3">
    <w:name w:val="ListLabel 3"/>
    <w:rPr>
      <w:rFonts w:cs="Times New Roman"/>
    </w:rPr>
  </w:style>
  <w:style w:type="character" w:customStyle="1" w:styleId="ListLabel4">
    <w:name w:val="ListLabel 4"/>
    <w:rPr>
      <w:lang w:val="es-ES"/>
    </w:rPr>
  </w:style>
  <w:style w:type="character" w:customStyle="1" w:styleId="ListLabel5">
    <w:name w:val="ListLabel 5"/>
    <w:rPr>
      <w:rFonts w:cs="Symbol"/>
      <w:color w:val="000080"/>
      <w:sz w:val="20"/>
    </w:rPr>
  </w:style>
  <w:style w:type="character" w:customStyle="1" w:styleId="ListLabel6">
    <w:name w:val="ListLabel 6"/>
    <w:rPr>
      <w:position w:val="0"/>
      <w:vertAlign w:val="subscript"/>
    </w:rPr>
  </w:style>
  <w:style w:type="character" w:customStyle="1" w:styleId="ListLabel7">
    <w:name w:val="ListLabel 7"/>
    <w:rPr>
      <w:rFonts w:cs="Courier New"/>
    </w:rPr>
  </w:style>
  <w:style w:type="character" w:customStyle="1" w:styleId="ListLabel8">
    <w:name w:val="ListLabel 8"/>
    <w:rPr>
      <w:b w:val="0"/>
      <w:i w:val="0"/>
    </w:rPr>
  </w:style>
  <w:style w:type="character" w:customStyle="1" w:styleId="ListLabel9">
    <w:name w:val="ListLabel 9"/>
    <w:rPr>
      <w:rFonts w:eastAsia="MS Mincho" w:cs="Times New Roman"/>
    </w:rPr>
  </w:style>
  <w:style w:type="character" w:customStyle="1" w:styleId="ListLabel10">
    <w:name w:val="ListLabel 10"/>
    <w:rPr>
      <w:strike w:val="0"/>
      <w:dstrike w:val="0"/>
    </w:rPr>
  </w:style>
  <w:style w:type="character" w:customStyle="1" w:styleId="ListLabel11">
    <w:name w:val="ListLabel 11"/>
    <w:rPr>
      <w:b/>
    </w:rPr>
  </w:style>
  <w:style w:type="character" w:customStyle="1" w:styleId="ListLabel12">
    <w:name w:val="ListLabel 12"/>
    <w:rPr>
      <w:b w:val="0"/>
    </w:rPr>
  </w:style>
  <w:style w:type="character" w:customStyle="1" w:styleId="ListLabel13">
    <w:name w:val="ListLabel 13"/>
    <w:rPr>
      <w:rFonts w:eastAsia="Calibri" w:cs="Times New Roman"/>
    </w:rPr>
  </w:style>
  <w:style w:type="character" w:customStyle="1" w:styleId="ListLabel14">
    <w:name w:val="ListLabel 14"/>
    <w:rPr>
      <w:rFonts w:eastAsia="Calibri" w:cs="Calibri"/>
      <w:position w:val="0"/>
      <w:vertAlign w:val="subscript"/>
    </w:r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numbering" w:customStyle="1" w:styleId="WWNum5">
    <w:name w:val="WWNum5"/>
    <w:basedOn w:val="Sinlista"/>
    <w:pPr>
      <w:numPr>
        <w:numId w:val="6"/>
      </w:numPr>
    </w:pPr>
  </w:style>
  <w:style w:type="numbering" w:customStyle="1" w:styleId="WWNum6">
    <w:name w:val="WWNum6"/>
    <w:basedOn w:val="Sinlista"/>
    <w:pPr>
      <w:numPr>
        <w:numId w:val="7"/>
      </w:numPr>
    </w:pPr>
  </w:style>
  <w:style w:type="numbering" w:customStyle="1" w:styleId="WWNum7">
    <w:name w:val="WWNum7"/>
    <w:basedOn w:val="Sinlista"/>
    <w:pPr>
      <w:numPr>
        <w:numId w:val="8"/>
      </w:numPr>
    </w:pPr>
  </w:style>
  <w:style w:type="numbering" w:customStyle="1" w:styleId="WWNum8">
    <w:name w:val="WWNum8"/>
    <w:basedOn w:val="Sinlista"/>
    <w:pPr>
      <w:numPr>
        <w:numId w:val="9"/>
      </w:numPr>
    </w:pPr>
  </w:style>
  <w:style w:type="numbering" w:customStyle="1" w:styleId="WWNum9">
    <w:name w:val="WWNum9"/>
    <w:basedOn w:val="Sinlista"/>
    <w:pPr>
      <w:numPr>
        <w:numId w:val="10"/>
      </w:numPr>
    </w:pPr>
  </w:style>
  <w:style w:type="numbering" w:customStyle="1" w:styleId="WWNum10">
    <w:name w:val="WWNum10"/>
    <w:basedOn w:val="Sinlista"/>
    <w:pPr>
      <w:numPr>
        <w:numId w:val="11"/>
      </w:numPr>
    </w:pPr>
  </w:style>
  <w:style w:type="numbering" w:customStyle="1" w:styleId="WWNum11">
    <w:name w:val="WWNum11"/>
    <w:basedOn w:val="Sinlista"/>
    <w:pPr>
      <w:numPr>
        <w:numId w:val="12"/>
      </w:numPr>
    </w:pPr>
  </w:style>
  <w:style w:type="numbering" w:customStyle="1" w:styleId="WWNum12">
    <w:name w:val="WWNum12"/>
    <w:basedOn w:val="Sinlista"/>
    <w:pPr>
      <w:numPr>
        <w:numId w:val="13"/>
      </w:numPr>
    </w:pPr>
  </w:style>
  <w:style w:type="numbering" w:customStyle="1" w:styleId="WWNum13">
    <w:name w:val="WWNum13"/>
    <w:basedOn w:val="Sinlista"/>
    <w:pPr>
      <w:numPr>
        <w:numId w:val="14"/>
      </w:numPr>
    </w:pPr>
  </w:style>
  <w:style w:type="numbering" w:customStyle="1" w:styleId="WWNum14">
    <w:name w:val="WWNum14"/>
    <w:basedOn w:val="Sinlista"/>
    <w:pPr>
      <w:numPr>
        <w:numId w:val="15"/>
      </w:numPr>
    </w:pPr>
  </w:style>
  <w:style w:type="numbering" w:customStyle="1" w:styleId="WWNum15">
    <w:name w:val="WWNum15"/>
    <w:basedOn w:val="Sinlista"/>
    <w:pPr>
      <w:numPr>
        <w:numId w:val="16"/>
      </w:numPr>
    </w:pPr>
  </w:style>
  <w:style w:type="numbering" w:customStyle="1" w:styleId="WWNum16">
    <w:name w:val="WWNum16"/>
    <w:basedOn w:val="Sinlista"/>
    <w:pPr>
      <w:numPr>
        <w:numId w:val="17"/>
      </w:numPr>
    </w:pPr>
  </w:style>
  <w:style w:type="numbering" w:customStyle="1" w:styleId="WWNum17">
    <w:name w:val="WWNum17"/>
    <w:basedOn w:val="Sinlista"/>
    <w:pPr>
      <w:numPr>
        <w:numId w:val="18"/>
      </w:numPr>
    </w:pPr>
  </w:style>
  <w:style w:type="numbering" w:customStyle="1" w:styleId="WWNum18">
    <w:name w:val="WWNum18"/>
    <w:basedOn w:val="Sinlista"/>
    <w:pPr>
      <w:numPr>
        <w:numId w:val="19"/>
      </w:numPr>
    </w:pPr>
  </w:style>
  <w:style w:type="numbering" w:customStyle="1" w:styleId="WWNum19">
    <w:name w:val="WWNum19"/>
    <w:basedOn w:val="Sinlista"/>
    <w:pPr>
      <w:numPr>
        <w:numId w:val="20"/>
      </w:numPr>
    </w:pPr>
  </w:style>
  <w:style w:type="numbering" w:customStyle="1" w:styleId="WWNum20">
    <w:name w:val="WWNum20"/>
    <w:basedOn w:val="Sinlista"/>
    <w:pPr>
      <w:numPr>
        <w:numId w:val="21"/>
      </w:numPr>
    </w:pPr>
  </w:style>
  <w:style w:type="numbering" w:customStyle="1" w:styleId="WWNum21">
    <w:name w:val="WWNum21"/>
    <w:basedOn w:val="Sinlista"/>
    <w:pPr>
      <w:numPr>
        <w:numId w:val="22"/>
      </w:numPr>
    </w:pPr>
  </w:style>
  <w:style w:type="numbering" w:customStyle="1" w:styleId="WWNum22">
    <w:name w:val="WWNum22"/>
    <w:basedOn w:val="Sinlista"/>
    <w:pPr>
      <w:numPr>
        <w:numId w:val="23"/>
      </w:numPr>
    </w:pPr>
  </w:style>
  <w:style w:type="numbering" w:customStyle="1" w:styleId="WWNum23">
    <w:name w:val="WWNum23"/>
    <w:basedOn w:val="Sinlista"/>
    <w:pPr>
      <w:numPr>
        <w:numId w:val="24"/>
      </w:numPr>
    </w:pPr>
  </w:style>
  <w:style w:type="numbering" w:customStyle="1" w:styleId="WWNum24">
    <w:name w:val="WWNum24"/>
    <w:basedOn w:val="Sinlista"/>
    <w:pPr>
      <w:numPr>
        <w:numId w:val="25"/>
      </w:numPr>
    </w:pPr>
  </w:style>
  <w:style w:type="numbering" w:customStyle="1" w:styleId="WWNum25">
    <w:name w:val="WWNum25"/>
    <w:basedOn w:val="Sinlista"/>
    <w:pPr>
      <w:numPr>
        <w:numId w:val="26"/>
      </w:numPr>
    </w:pPr>
  </w:style>
  <w:style w:type="numbering" w:customStyle="1" w:styleId="WWNum26">
    <w:name w:val="WWNum26"/>
    <w:basedOn w:val="Sinlista"/>
    <w:pPr>
      <w:numPr>
        <w:numId w:val="27"/>
      </w:numPr>
    </w:pPr>
  </w:style>
  <w:style w:type="numbering" w:customStyle="1" w:styleId="WWNum27">
    <w:name w:val="WWNum27"/>
    <w:basedOn w:val="Sinlista"/>
    <w:pPr>
      <w:numPr>
        <w:numId w:val="28"/>
      </w:numPr>
    </w:pPr>
  </w:style>
  <w:style w:type="numbering" w:customStyle="1" w:styleId="WWNum28">
    <w:name w:val="WWNum28"/>
    <w:basedOn w:val="Sinlista"/>
    <w:pPr>
      <w:numPr>
        <w:numId w:val="29"/>
      </w:numPr>
    </w:pPr>
  </w:style>
  <w:style w:type="numbering" w:customStyle="1" w:styleId="WWNum29">
    <w:name w:val="WWNum29"/>
    <w:basedOn w:val="Sinlista"/>
    <w:pPr>
      <w:numPr>
        <w:numId w:val="30"/>
      </w:numPr>
    </w:pPr>
  </w:style>
  <w:style w:type="numbering" w:customStyle="1" w:styleId="WWNum30">
    <w:name w:val="WWNum30"/>
    <w:basedOn w:val="Sinlista"/>
    <w:pPr>
      <w:numPr>
        <w:numId w:val="31"/>
      </w:numPr>
    </w:pPr>
  </w:style>
  <w:style w:type="numbering" w:customStyle="1" w:styleId="WWNum31">
    <w:name w:val="WWNum31"/>
    <w:basedOn w:val="Sinlista"/>
    <w:pPr>
      <w:numPr>
        <w:numId w:val="32"/>
      </w:numPr>
    </w:pPr>
  </w:style>
  <w:style w:type="numbering" w:customStyle="1" w:styleId="WWNum32">
    <w:name w:val="WWNum32"/>
    <w:basedOn w:val="Sinlista"/>
    <w:pPr>
      <w:numPr>
        <w:numId w:val="33"/>
      </w:numPr>
    </w:pPr>
  </w:style>
  <w:style w:type="numbering" w:customStyle="1" w:styleId="WWNum33">
    <w:name w:val="WWNum33"/>
    <w:basedOn w:val="Sinlista"/>
    <w:pPr>
      <w:numPr>
        <w:numId w:val="34"/>
      </w:numPr>
    </w:pPr>
  </w:style>
  <w:style w:type="numbering" w:customStyle="1" w:styleId="WWNum34">
    <w:name w:val="WWNum34"/>
    <w:basedOn w:val="Sinlista"/>
    <w:pPr>
      <w:numPr>
        <w:numId w:val="35"/>
      </w:numPr>
    </w:pPr>
  </w:style>
  <w:style w:type="numbering" w:customStyle="1" w:styleId="WWNum35">
    <w:name w:val="WWNum35"/>
    <w:basedOn w:val="Sinlista"/>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2884</Words>
  <Characters>15868</Characters>
  <Application>Microsoft Office Word</Application>
  <DocSecurity>0</DocSecurity>
  <Lines>132</Lines>
  <Paragraphs>37</Paragraphs>
  <ScaleCrop>false</ScaleCrop>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Consejo Administración</dc:title>
  <dc:creator>Eduardo Barrera</dc:creator>
  <cp:lastModifiedBy>gemetta gemetta</cp:lastModifiedBy>
  <cp:revision>2</cp:revision>
  <cp:lastPrinted>2020-09-24T18:11:00Z</cp:lastPrinted>
  <dcterms:created xsi:type="dcterms:W3CDTF">2021-06-21T11:43:00Z</dcterms:created>
  <dcterms:modified xsi:type="dcterms:W3CDTF">2021-06-21T11:43:00Z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